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453" w:rsidRPr="004F545A" w:rsidRDefault="00413453" w:rsidP="00413453">
      <w:pPr>
        <w:tabs>
          <w:tab w:val="left" w:pos="1418"/>
        </w:tabs>
        <w:spacing w:before="120" w:line="240" w:lineRule="auto"/>
        <w:jc w:val="center"/>
        <w:rPr>
          <w:rFonts w:ascii="Browallia New" w:eastAsia="Calibri" w:hAnsi="Browallia New" w:cs="Browallia New"/>
          <w:b/>
          <w:bCs/>
          <w:sz w:val="32"/>
          <w:szCs w:val="32"/>
          <w:cs/>
          <w:lang w:eastAsia="ja-JP"/>
        </w:rPr>
      </w:pPr>
      <w:r w:rsidRPr="004F545A">
        <w:rPr>
          <w:rFonts w:ascii="Browallia New" w:eastAsia="Calibri" w:hAnsi="Browallia New" w:cs="Browallia New"/>
          <w:b/>
          <w:bCs/>
          <w:sz w:val="32"/>
          <w:szCs w:val="32"/>
          <w:cs/>
          <w:lang w:eastAsia="ja-JP"/>
        </w:rPr>
        <w:t xml:space="preserve">ตัวอย่างตารางสรุป </w:t>
      </w:r>
      <w:r w:rsidRPr="004F545A">
        <w:rPr>
          <w:rFonts w:ascii="Browallia New" w:eastAsia="Calibri" w:hAnsi="Browallia New" w:cs="Browallia New"/>
          <w:b/>
          <w:bCs/>
          <w:sz w:val="32"/>
          <w:szCs w:val="32"/>
          <w:lang w:eastAsia="ja-JP"/>
        </w:rPr>
        <w:t xml:space="preserve">Term Sheet </w:t>
      </w:r>
      <w:r w:rsidRPr="004F545A">
        <w:rPr>
          <w:rFonts w:ascii="Browallia New" w:eastAsia="Calibri" w:hAnsi="Browallia New" w:cs="Browallia New"/>
          <w:b/>
          <w:bCs/>
          <w:sz w:val="32"/>
          <w:szCs w:val="32"/>
          <w:cs/>
          <w:lang w:eastAsia="ja-JP"/>
        </w:rPr>
        <w:t>กรณีขอนับตราสารเข้าเป็นเงินกองทุนชั้นที่ 2</w:t>
      </w:r>
      <w:r w:rsidR="00FC0CA1">
        <w:rPr>
          <w:rFonts w:ascii="Browallia New" w:eastAsia="Calibri" w:hAnsi="Browallia New" w:cs="Browallia New" w:hint="cs"/>
          <w:b/>
          <w:bCs/>
          <w:sz w:val="32"/>
          <w:szCs w:val="32"/>
          <w:cs/>
          <w:lang w:eastAsia="ja-JP"/>
        </w:rPr>
        <w:t xml:space="preserve"> ของบริษัทเงินทุน</w:t>
      </w:r>
    </w:p>
    <w:tbl>
      <w:tblPr>
        <w:tblW w:w="1001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4707"/>
      </w:tblGrid>
      <w:tr w:rsidR="00413453" w:rsidRPr="00554686" w:rsidTr="00AD7382">
        <w:trPr>
          <w:tblHeader/>
        </w:trPr>
        <w:tc>
          <w:tcPr>
            <w:tcW w:w="5310" w:type="dxa"/>
            <w:shd w:val="clear" w:color="auto" w:fill="BFBFBF"/>
            <w:vAlign w:val="center"/>
          </w:tcPr>
          <w:p w:rsidR="00413453" w:rsidRPr="004F545A" w:rsidRDefault="00413453" w:rsidP="00413453">
            <w:pPr>
              <w:spacing w:before="40" w:after="0" w:line="276" w:lineRule="auto"/>
              <w:ind w:left="-131" w:firstLine="131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4F545A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คุณสมบัติตามเกณฑ์ของธนาคารแห่งประเทศไทย</w:t>
            </w:r>
          </w:p>
        </w:tc>
        <w:tc>
          <w:tcPr>
            <w:tcW w:w="4707" w:type="dxa"/>
            <w:shd w:val="clear" w:color="auto" w:fill="BFBFBF"/>
            <w:vAlign w:val="center"/>
          </w:tcPr>
          <w:p w:rsidR="00413453" w:rsidRPr="004F545A" w:rsidRDefault="00413453" w:rsidP="004F545A">
            <w:pPr>
              <w:spacing w:before="40" w:after="0" w:line="276" w:lineRule="auto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4F545A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อ้างอิงข้อกำหนดสิทธิ ข้อ ... รายละเอียด ...</w:t>
            </w: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1. ได้รับชำระเงินเต็มจำนวน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  <w:cs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2. 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 xml:space="preserve">กรณีที่ บง. เลิกกิจการ ผู้ถือตราสารดังกล่าวจะได้รับชำระเงินในลำดับหลังจากเจ้าหนี้บุริมสิทธิ 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>ผู้ฝากเงินและเจ้าหนี้สามัญ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>3. ออกจำหน่ายโดยไม่มีหลักประกันหรือการค้ำประกันหรือการ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>รับประกันโดย บง. หรือบริษัทในกลุ่มธุรกิจฯ ที่จะทำให้สิทธิเรียกร้อง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>เหนือกว่าเจ้าหนี้ประเภทอื่น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4. มีกำหนดเวลาชำระหนี้ไม่ต่ำกว่า 5 ปี และในช่วง 5 ปีสุดท้ายก่อนครบกำหนดให้ บง. ต้องทยอยลดการนับเข้าเป็นเงินกองทุนชั้นที่ 2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ตามวิธีเส้นตรง และต้องไม่มีการปรับเพิ่มอัตราผลตอบแทนหรือ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>เงื่อนไขที่เป็นแรงจูงใจให้ไถ่ถอนก่อนกำหนด (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</w:rPr>
              <w:t>No incentive to redeem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)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เช่น ไม่กำหนดอัตราดอกเบี้ยในลักษณะขั้นบันได (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</w:rPr>
              <w:t>No Step up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5. </w:t>
            </w:r>
            <w:r w:rsidRPr="004F545A">
              <w:rPr>
                <w:rFonts w:ascii="Browallia New" w:eastAsia="Calibri" w:hAnsi="Browallia New" w:cs="Browallia New"/>
                <w:spacing w:val="-6"/>
                <w:sz w:val="32"/>
                <w:szCs w:val="32"/>
                <w:cs/>
              </w:rPr>
              <w:t>ต้องไม่ทำให้ผู้ถือตราสารที่นับเป็น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เงินกองทุนชั้นที่ 2 </w:t>
            </w:r>
            <w:r w:rsidRPr="004F545A">
              <w:rPr>
                <w:rFonts w:ascii="Browallia New" w:eastAsia="Calibri" w:hAnsi="Browallia New" w:cs="Browallia New"/>
                <w:spacing w:val="-6"/>
                <w:sz w:val="32"/>
                <w:szCs w:val="32"/>
                <w:cs/>
              </w:rPr>
              <w:t xml:space="preserve"> คาดหวังว่า บง. จะไถ่ถอนหรือซื้อคืนตราสารดังกล่าวก่อนครบกำหนด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6. 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มีสิทธิที่จะไถ่ถอนตราสารทางการเงินที่นับเป็นเงินกองทุนชั้นที่ 2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ได้หลังจาก 5 ปีนับจากวันที่ได้ออกตราสารนั้น ทั้งนี้ การไถ่ถอนจะกระทำได้ต่อเมื่อ </w:t>
            </w:r>
          </w:p>
          <w:p w:rsidR="00413453" w:rsidRPr="004F545A" w:rsidRDefault="00413453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(6.1) ได้รับความเห็นชอบจาก ธปท. โดยจะต้องเสนอแผนการไถ่ถอนและการทดแทนต่อ ธปท. ก่อนดำเนินการไถ่ถอนไม่น้อยกว่า 30 วัน  </w:t>
            </w:r>
          </w:p>
          <w:p w:rsidR="00413453" w:rsidRPr="004F545A" w:rsidRDefault="00413453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(6.2) สามารถพิสูจน์ได้ว่า การไถ่ถอนก่อนกำหนดนั้นจะไม่ส่งผลให้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</w:rPr>
              <w:t xml:space="preserve">BIS ratio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ลดต่ำลงกว่าเกณฑ์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ขั้นต่ำตามที่ ธปท. กำหนด </w:t>
            </w:r>
          </w:p>
          <w:p w:rsidR="00413453" w:rsidRPr="004F545A" w:rsidRDefault="00413453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(6.3)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ธปท. เห็นว่าการไถ่ถอนก่อนกำหนดจะไม่ส่งผลให้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</w:rPr>
              <w:t xml:space="preserve">BIS Ratio </w:t>
            </w:r>
            <w:r w:rsidRPr="004F545A">
              <w:rPr>
                <w:rFonts w:ascii="Browallia New" w:eastAsia="Calibri" w:hAnsi="Browallia New" w:cs="Browallia New"/>
                <w:b/>
                <w:bCs/>
                <w:spacing w:val="-8"/>
                <w:sz w:val="32"/>
                <w:szCs w:val="32"/>
                <w:cs/>
              </w:rPr>
              <w:t xml:space="preserve">ลดลงต่ำกว่าร้อยละ </w:t>
            </w:r>
            <w:r w:rsidRPr="004F545A">
              <w:rPr>
                <w:rFonts w:ascii="Browallia New" w:eastAsia="Calibri" w:hAnsi="Browallia New" w:cs="Browallia New"/>
                <w:b/>
                <w:bCs/>
                <w:spacing w:val="-8"/>
                <w:sz w:val="32"/>
                <w:szCs w:val="32"/>
              </w:rPr>
              <w:t>9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 xml:space="preserve"> บวก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</w:rPr>
              <w:t xml:space="preserve"> Conservation buffer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 โดยพิจารณาถึง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ปัจจัยต่าง ๆ ที่จะส่งผลกระทบต่อฐานะเงินกองทุนในระยะเวลา 3 ปี ภายใต้สมมติฐานว่าไม่มีการเพิ่มทุนใหม่ 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7. การซื้อคืนตราสารทางการเงินที่นับเป็นเงินกองทุนชั้นที่ 2  ให้ถือปฏิบัติ ดังนี้ </w:t>
            </w:r>
          </w:p>
          <w:p w:rsidR="00413453" w:rsidRPr="004F545A" w:rsidRDefault="00413453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pacing w:val="-8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(7.1) 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>ได้รับความเห็นชอบจาก ธปท. โดย บง. เสนอแผนการซื้อคืนและแผนการทดแทนตราสาร</w:t>
            </w:r>
          </w:p>
          <w:p w:rsidR="00413453" w:rsidRPr="004F545A" w:rsidRDefault="00413453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 xml:space="preserve">(7.2) ปฏิบัติตามมาตรฐานการบัญชีที่เกี่ยวข้องกับการซื้อคืนตราสารที่นับเป็นเงินกองทุนชั้นที่ 2  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AD7382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sz w:val="32"/>
                <w:szCs w:val="32"/>
              </w:rPr>
              <w:t>8</w:t>
            </w:r>
            <w:r w:rsidR="00413453"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. </w:t>
            </w:r>
            <w:r w:rsidR="00413453" w:rsidRPr="004F545A">
              <w:rPr>
                <w:rFonts w:ascii="Browallia New" w:eastAsia="Calibri" w:hAnsi="Browallia New" w:cs="Browallia New"/>
                <w:spacing w:val="6"/>
                <w:sz w:val="32"/>
                <w:szCs w:val="32"/>
                <w:cs/>
              </w:rPr>
              <w:t>ต้องไม่ระบุอัตราผลตอบแทนอ้างอิงกับตัวแปรอื่นใดที่มีความสัมพันธ์กับความเสี่ยงด้านเครดิต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AD7382" w:rsidP="004F545A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spacing w:val="-8"/>
                <w:sz w:val="32"/>
                <w:szCs w:val="32"/>
              </w:rPr>
              <w:t>9</w:t>
            </w:r>
            <w:r w:rsidR="00413453"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 xml:space="preserve">. </w:t>
            </w:r>
            <w:r w:rsidR="00413453"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บง. หรือผู้ที่เกี่ยวข้องกับ บง. ต้องไม่ซื้อตราสารที่สามารถนับเป็นเงินกองทุนของ บง. เอง รวมถึงไม่สนับสนุนหรือให้ความ</w:t>
            </w:r>
            <w:r w:rsidR="00413453"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>ช่วยเหลือทางด้านการเงินทั้งทางตรงและทางอ้อมแก่บุคคลใด โดยมีวัตถุประสงค์เพื่อนำมาซื้อตราสารทางการเงินที่สามารถนับเป็นเงินกองทุนของ บง. เอง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  <w:tr w:rsidR="00413453" w:rsidRPr="00554686" w:rsidTr="00413453">
        <w:tc>
          <w:tcPr>
            <w:tcW w:w="5310" w:type="dxa"/>
          </w:tcPr>
          <w:p w:rsidR="00413453" w:rsidRPr="004F545A" w:rsidRDefault="00413453" w:rsidP="00AD7382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4F545A">
              <w:rPr>
                <w:rFonts w:ascii="Browallia New" w:eastAsia="Calibri" w:hAnsi="Browallia New" w:cs="Browallia New"/>
                <w:spacing w:val="-10"/>
                <w:sz w:val="32"/>
                <w:szCs w:val="32"/>
                <w:cs/>
              </w:rPr>
              <w:t>1</w:t>
            </w:r>
            <w:r w:rsidR="00AD7382">
              <w:rPr>
                <w:rFonts w:ascii="Browallia New" w:eastAsia="Calibri" w:hAnsi="Browallia New" w:cs="Browallia New"/>
                <w:spacing w:val="-10"/>
                <w:sz w:val="32"/>
                <w:szCs w:val="32"/>
              </w:rPr>
              <w:t>0</w:t>
            </w:r>
            <w:r w:rsidRPr="004F545A">
              <w:rPr>
                <w:rFonts w:ascii="Browallia New" w:eastAsia="Calibri" w:hAnsi="Browallia New" w:cs="Browallia New"/>
                <w:spacing w:val="-10"/>
                <w:sz w:val="32"/>
                <w:szCs w:val="32"/>
                <w:cs/>
              </w:rPr>
              <w:t xml:space="preserve">. </w:t>
            </w:r>
            <w:r w:rsidRPr="004F545A">
              <w:rPr>
                <w:rFonts w:ascii="Browallia New" w:eastAsia="Calibri" w:hAnsi="Browallia New" w:cs="Browallia New"/>
                <w:spacing w:val="-4"/>
                <w:sz w:val="32"/>
                <w:szCs w:val="32"/>
                <w:cs/>
              </w:rPr>
              <w:t>สามารถรองรับผลขาดทุนของ บง. ได้ เมื่อมีผลการดำเนินงานที่</w:t>
            </w:r>
            <w:r w:rsidRPr="004F545A">
              <w:rPr>
                <w:rFonts w:ascii="Browallia New" w:eastAsia="Calibri" w:hAnsi="Browallia New" w:cs="Browallia New"/>
                <w:spacing w:val="-10"/>
                <w:sz w:val="32"/>
                <w:szCs w:val="32"/>
                <w:cs/>
              </w:rPr>
              <w:t>ไม่สามารถดำเนินกิจการต่อไปได้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 xml:space="preserve">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เพื่อรองรับ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</w:rPr>
              <w:t>Gone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-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</w:rPr>
              <w:t xml:space="preserve">concern basis 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โดยต้องมีเงื่อนไขระบุในสัญญาว่า (1) สามารถแปลงเป็นหุ้นสามัญ หรือ (2) สามารถตัดเป็นหนี้สูญได้ </w:t>
            </w:r>
            <w:r w:rsidRPr="004F545A">
              <w:rPr>
                <w:rFonts w:ascii="Browallia New" w:eastAsia="Calibri" w:hAnsi="Browallia New" w:cs="Browallia New"/>
                <w:spacing w:val="-8"/>
                <w:sz w:val="32"/>
                <w:szCs w:val="32"/>
                <w:cs/>
              </w:rPr>
              <w:t>เมื่อ</w:t>
            </w:r>
            <w:r w:rsidRPr="004F545A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 xml:space="preserve">ทางการเข้าช่วยเหลือทางการเงินแก่ บง. นั้น </w:t>
            </w:r>
          </w:p>
        </w:tc>
        <w:tc>
          <w:tcPr>
            <w:tcW w:w="4707" w:type="dxa"/>
          </w:tcPr>
          <w:p w:rsidR="00413453" w:rsidRPr="004F545A" w:rsidRDefault="00413453" w:rsidP="004F545A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32"/>
                <w:szCs w:val="32"/>
              </w:rPr>
            </w:pPr>
          </w:p>
        </w:tc>
      </w:tr>
    </w:tbl>
    <w:p w:rsidR="00025261" w:rsidRPr="00413453" w:rsidRDefault="00413453" w:rsidP="00AD7382">
      <w:pPr>
        <w:spacing w:before="120" w:after="0" w:line="276" w:lineRule="auto"/>
        <w:ind w:right="-420" w:hanging="1"/>
      </w:pPr>
      <w:r w:rsidRPr="004F545A">
        <w:rPr>
          <w:rFonts w:ascii="Browallia New" w:eastAsia="Calibri" w:hAnsi="Browallia New" w:cs="Browallia New"/>
          <w:sz w:val="32"/>
          <w:szCs w:val="32"/>
          <w:u w:val="single"/>
          <w:cs/>
        </w:rPr>
        <w:t>หมายเหตุ</w:t>
      </w:r>
      <w:r w:rsidRPr="004F545A">
        <w:rPr>
          <w:rFonts w:ascii="Browallia New" w:eastAsia="Calibri" w:hAnsi="Browallia New" w:cs="Browallia New"/>
          <w:sz w:val="32"/>
          <w:szCs w:val="32"/>
          <w:cs/>
        </w:rPr>
        <w:t xml:space="preserve">:  </w:t>
      </w:r>
      <w:r w:rsidR="009A1840" w:rsidRPr="00FD7C7B">
        <w:rPr>
          <w:rFonts w:ascii="Browallia New" w:hAnsi="Browallia New" w:cs="Browallia New"/>
          <w:spacing w:val="6"/>
          <w:sz w:val="32"/>
          <w:szCs w:val="32"/>
          <w:cs/>
        </w:rPr>
        <w:t>ประกาศธนาคารแห่งประเทศไทย ที่ สนส. 22/2563 เรื่อง องค์ประกอบของเงินกองทุนสำหรับ</w:t>
      </w:r>
      <w:r w:rsidR="009A1840" w:rsidRPr="00FD7C7B">
        <w:rPr>
          <w:rFonts w:ascii="Browallia New" w:hAnsi="Browallia New" w:cs="Browallia New"/>
          <w:sz w:val="32"/>
          <w:szCs w:val="32"/>
          <w:cs/>
        </w:rPr>
        <w:br/>
        <w:t>ธนาคารพาณิชย์ที่จดทะเบียนในประเทศ (ฉบับที่ 2) ลงวันที่ 24 พฤศจิกายน 2563</w:t>
      </w:r>
    </w:p>
    <w:sectPr w:rsidR="00025261" w:rsidRPr="00413453" w:rsidSect="004F5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579" w:rsidRDefault="005E7579">
      <w:pPr>
        <w:spacing w:after="0" w:line="240" w:lineRule="auto"/>
      </w:pPr>
      <w:r>
        <w:separator/>
      </w:r>
    </w:p>
  </w:endnote>
  <w:endnote w:type="continuationSeparator" w:id="0">
    <w:p w:rsidR="005E7579" w:rsidRDefault="005E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82" w:rsidRDefault="00AD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82" w:rsidRDefault="00AD7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82" w:rsidRDefault="00AD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579" w:rsidRDefault="005E7579">
      <w:pPr>
        <w:spacing w:after="0" w:line="240" w:lineRule="auto"/>
      </w:pPr>
      <w:r>
        <w:separator/>
      </w:r>
    </w:p>
  </w:footnote>
  <w:footnote w:type="continuationSeparator" w:id="0">
    <w:p w:rsidR="005E7579" w:rsidRDefault="005E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82" w:rsidRDefault="00AD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4426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2515" w:rsidRDefault="0041345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A1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51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82" w:rsidRDefault="00AD7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CC"/>
    <w:rsid w:val="00025261"/>
    <w:rsid w:val="00100155"/>
    <w:rsid w:val="00300B36"/>
    <w:rsid w:val="00413453"/>
    <w:rsid w:val="004C4E55"/>
    <w:rsid w:val="004D5CE7"/>
    <w:rsid w:val="004E61ED"/>
    <w:rsid w:val="005E7579"/>
    <w:rsid w:val="005F2FCC"/>
    <w:rsid w:val="00601EAB"/>
    <w:rsid w:val="00960109"/>
    <w:rsid w:val="009A1840"/>
    <w:rsid w:val="00AD7382"/>
    <w:rsid w:val="00E5500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8B63"/>
  <w15:chartTrackingRefBased/>
  <w15:docId w15:val="{3CEE6B4E-9116-4BF2-B32A-EBAD09B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C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36"/>
    <w:pPr>
      <w:ind w:left="720"/>
      <w:contextualSpacing/>
    </w:pPr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3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53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D7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82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5426B-312F-48D2-B200-D767C9B6578D}"/>
</file>

<file path=customXml/itemProps2.xml><?xml version="1.0" encoding="utf-8"?>
<ds:datastoreItem xmlns:ds="http://schemas.openxmlformats.org/officeDocument/2006/customXml" ds:itemID="{82E292F8-DFCB-49D1-B135-22AB2EB9E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สุดาวรรณ มหาเดชสุรชัย</dc:creator>
  <cp:keywords/>
  <dc:description/>
  <cp:lastModifiedBy>Pichaya Chainarongdechakul (พิชญา ชัยณรงค์เดชากุล)</cp:lastModifiedBy>
  <cp:revision>1</cp:revision>
  <dcterms:created xsi:type="dcterms:W3CDTF">2023-04-11T13:40:00Z</dcterms:created>
  <dcterms:modified xsi:type="dcterms:W3CDTF">2023-04-11T13:40:00Z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2021-02-11T07:20:15Z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e8cf3952-ca3f-4c6d-b746-a273ddd87ea7</vt:lpwstr>
  </property>
  <property fmtid="{D5CDD505-2E9C-101B-9397-08002B2CF9AE}" pid="8" name="MSIP_Label_57ef099a-7fa4-4e34-953d-f6f34188ebfd_ContentBits">
    <vt:lpwstr>0</vt:lpwstr>
  </property>
</Properties>
</file>