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BD9EE" w14:textId="027D76CF" w:rsidR="000F14CB" w:rsidRPr="00022853" w:rsidRDefault="002C6454" w:rsidP="008D114A">
      <w:pPr>
        <w:spacing w:after="1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2</w:t>
      </w:r>
      <w:r w:rsidR="00010694" w:rsidRPr="00022853">
        <w:rPr>
          <w:rFonts w:ascii="TH SarabunPSK" w:hAnsi="TH SarabunPSK" w:cs="TH SarabunPSK"/>
          <w:b/>
          <w:bCs/>
          <w:cs/>
        </w:rPr>
        <w:t xml:space="preserve">.1 </w:t>
      </w:r>
      <w:r w:rsidR="00490933" w:rsidRPr="00022853">
        <w:rPr>
          <w:rFonts w:ascii="TH SarabunPSK" w:hAnsi="TH SarabunPSK" w:cs="TH SarabunPSK"/>
          <w:b/>
          <w:bCs/>
          <w:cs/>
        </w:rPr>
        <w:t xml:space="preserve">ตัวอย่างตารางสรุป </w:t>
      </w:r>
      <w:r w:rsidR="00490933" w:rsidRPr="00022853">
        <w:rPr>
          <w:rFonts w:ascii="TH SarabunPSK" w:hAnsi="TH SarabunPSK" w:cs="TH SarabunPSK"/>
          <w:b/>
          <w:bCs/>
        </w:rPr>
        <w:t xml:space="preserve">Term Sheet </w:t>
      </w:r>
      <w:r w:rsidR="00490933" w:rsidRPr="00022853">
        <w:rPr>
          <w:rFonts w:ascii="TH SarabunPSK" w:hAnsi="TH SarabunPSK" w:cs="TH SarabunPSK"/>
          <w:b/>
          <w:bCs/>
          <w:cs/>
        </w:rPr>
        <w:t xml:space="preserve">กรณีตราสารเงินกองทุนชั้นที่ </w:t>
      </w:r>
      <w:r w:rsidR="00490933" w:rsidRPr="00022853">
        <w:rPr>
          <w:rFonts w:ascii="TH SarabunPSK" w:hAnsi="TH SarabunPSK" w:cs="TH SarabunPSK"/>
          <w:b/>
          <w:bCs/>
        </w:rPr>
        <w:t>1</w:t>
      </w:r>
      <w:r w:rsidR="00166AD3" w:rsidRPr="00022853">
        <w:rPr>
          <w:rFonts w:ascii="TH SarabunPSK" w:hAnsi="TH SarabunPSK" w:cs="TH SarabunPSK"/>
          <w:b/>
          <w:bCs/>
          <w:cs/>
        </w:rPr>
        <w:t xml:space="preserve"> ที่เป็น </w:t>
      </w:r>
      <w:r w:rsidR="00166AD3" w:rsidRPr="00022853">
        <w:rPr>
          <w:rFonts w:ascii="TH SarabunPSK" w:hAnsi="TH SarabunPSK" w:cs="TH SarabunPSK"/>
          <w:b/>
          <w:bCs/>
        </w:rPr>
        <w:t>Hybrid Tier 1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6771"/>
        <w:gridCol w:w="3685"/>
      </w:tblGrid>
      <w:tr w:rsidR="00490933" w:rsidRPr="00022853" w14:paraId="217D171A" w14:textId="77777777" w:rsidTr="005C087B">
        <w:tc>
          <w:tcPr>
            <w:tcW w:w="6771" w:type="dxa"/>
          </w:tcPr>
          <w:p w14:paraId="21B45D93" w14:textId="77777777" w:rsidR="00490933" w:rsidRPr="00022853" w:rsidRDefault="00490933" w:rsidP="004909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22853">
              <w:rPr>
                <w:rFonts w:ascii="TH SarabunPSK" w:hAnsi="TH SarabunPSK" w:cs="TH SarabunPSK"/>
                <w:b/>
                <w:bCs/>
                <w:cs/>
              </w:rPr>
              <w:t xml:space="preserve">คุณสมบัติ </w:t>
            </w:r>
          </w:p>
        </w:tc>
        <w:tc>
          <w:tcPr>
            <w:tcW w:w="3685" w:type="dxa"/>
          </w:tcPr>
          <w:p w14:paraId="1F768946" w14:textId="77777777" w:rsidR="00490933" w:rsidRPr="00022853" w:rsidRDefault="005C087B" w:rsidP="004909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2285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อ้างอิงข้อกำหนด ข้อ....  รายละเอียด.......</w:t>
            </w:r>
          </w:p>
        </w:tc>
      </w:tr>
      <w:tr w:rsidR="00490933" w:rsidRPr="00022853" w14:paraId="610212F5" w14:textId="77777777" w:rsidTr="005C087B">
        <w:tc>
          <w:tcPr>
            <w:tcW w:w="6771" w:type="dxa"/>
          </w:tcPr>
          <w:p w14:paraId="56EBFDA9" w14:textId="77777777" w:rsidR="00490933" w:rsidRPr="00022853" w:rsidRDefault="00490933">
            <w:pPr>
              <w:rPr>
                <w:rFonts w:ascii="TH SarabunPSK" w:hAnsi="TH SarabunPSK" w:cs="TH SarabunPSK"/>
              </w:rPr>
            </w:pPr>
            <w:r w:rsidRPr="00022853">
              <w:rPr>
                <w:rFonts w:ascii="TH SarabunPSK" w:hAnsi="TH SarabunPSK" w:cs="TH SarabunPSK"/>
                <w:cs/>
              </w:rPr>
              <w:t>1. ได้รับชำระเงินต้นเต็มจำนวน</w:t>
            </w:r>
          </w:p>
        </w:tc>
        <w:tc>
          <w:tcPr>
            <w:tcW w:w="3685" w:type="dxa"/>
          </w:tcPr>
          <w:p w14:paraId="366F2598" w14:textId="77777777" w:rsidR="00490933" w:rsidRPr="00022853" w:rsidRDefault="005C087B" w:rsidP="003F15B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2853">
              <w:rPr>
                <w:rFonts w:ascii="TH SarabunPSK" w:hAnsi="TH SarabunPSK" w:cs="TH SarabunPSK"/>
                <w:sz w:val="28"/>
                <w:szCs w:val="28"/>
                <w:cs/>
              </w:rPr>
              <w:t>(เฉพาะ</w:t>
            </w:r>
            <w:r w:rsidR="003F15B6" w:rsidRPr="00022853">
              <w:rPr>
                <w:rFonts w:ascii="TH SarabunPSK" w:hAnsi="TH SarabunPSK" w:cs="TH SarabunPSK"/>
                <w:sz w:val="28"/>
                <w:szCs w:val="28"/>
                <w:cs/>
              </w:rPr>
              <w:t>กรณี</w:t>
            </w:r>
            <w:r w:rsidRPr="00022853">
              <w:rPr>
                <w:rFonts w:ascii="TH SarabunPSK" w:hAnsi="TH SarabunPSK" w:cs="TH SarabunPSK"/>
                <w:sz w:val="28"/>
                <w:szCs w:val="28"/>
                <w:cs/>
              </w:rPr>
              <w:t>ขออนุญาตนับ)</w:t>
            </w:r>
          </w:p>
        </w:tc>
      </w:tr>
      <w:tr w:rsidR="00490933" w:rsidRPr="00022853" w14:paraId="17441054" w14:textId="77777777" w:rsidTr="005C087B">
        <w:tc>
          <w:tcPr>
            <w:tcW w:w="6771" w:type="dxa"/>
          </w:tcPr>
          <w:p w14:paraId="279E1992" w14:textId="77777777" w:rsidR="00490933" w:rsidRPr="00022853" w:rsidRDefault="00490933">
            <w:pPr>
              <w:rPr>
                <w:rFonts w:ascii="TH SarabunPSK" w:hAnsi="TH SarabunPSK" w:cs="TH SarabunPSK"/>
              </w:rPr>
            </w:pPr>
            <w:r w:rsidRPr="00022853">
              <w:rPr>
                <w:rFonts w:ascii="TH SarabunPSK" w:hAnsi="TH SarabunPSK" w:cs="TH SarabunPSK"/>
                <w:cs/>
              </w:rPr>
              <w:t>2. ไม่สะสมผลตอบแทน (</w:t>
            </w:r>
            <w:r w:rsidRPr="00022853">
              <w:rPr>
                <w:rFonts w:ascii="TH SarabunPSK" w:hAnsi="TH SarabunPSK" w:cs="TH SarabunPSK"/>
              </w:rPr>
              <w:t>Non-cumulative)</w:t>
            </w:r>
          </w:p>
        </w:tc>
        <w:tc>
          <w:tcPr>
            <w:tcW w:w="3685" w:type="dxa"/>
          </w:tcPr>
          <w:p w14:paraId="7747C456" w14:textId="77777777" w:rsidR="00490933" w:rsidRPr="00022853" w:rsidRDefault="0049093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90933" w:rsidRPr="00022853" w14:paraId="6E76FD90" w14:textId="77777777" w:rsidTr="005C087B">
        <w:tc>
          <w:tcPr>
            <w:tcW w:w="6771" w:type="dxa"/>
          </w:tcPr>
          <w:p w14:paraId="29332E60" w14:textId="77777777" w:rsidR="00490933" w:rsidRPr="00022853" w:rsidRDefault="00490933" w:rsidP="001449B8">
            <w:pPr>
              <w:rPr>
                <w:rFonts w:ascii="TH SarabunPSK" w:hAnsi="TH SarabunPSK" w:cs="TH SarabunPSK"/>
                <w:cs/>
              </w:rPr>
            </w:pPr>
            <w:r w:rsidRPr="00022853">
              <w:rPr>
                <w:rFonts w:ascii="TH SarabunPSK" w:hAnsi="TH SarabunPSK" w:cs="TH SarabunPSK"/>
              </w:rPr>
              <w:t xml:space="preserve">3. </w:t>
            </w:r>
            <w:r w:rsidRPr="00022853">
              <w:rPr>
                <w:rFonts w:ascii="TH SarabunPSK" w:hAnsi="TH SarabunPSK" w:cs="TH SarabunPSK"/>
                <w:cs/>
              </w:rPr>
              <w:t>สามารถรองรับผลขาดทุนได้ในระหว่างดำเนินการทำนองใกล้เคียงกับหุ้นสามัญ (</w:t>
            </w:r>
            <w:r w:rsidRPr="00022853">
              <w:rPr>
                <w:rFonts w:ascii="TH SarabunPSK" w:hAnsi="TH SarabunPSK" w:cs="TH SarabunPSK"/>
              </w:rPr>
              <w:t>Absorb losses on the going-concern basis)</w:t>
            </w:r>
            <w:r w:rsidR="00A27298" w:rsidRPr="00022853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3685" w:type="dxa"/>
          </w:tcPr>
          <w:p w14:paraId="2B86D3C5" w14:textId="77777777" w:rsidR="00490933" w:rsidRPr="00022853" w:rsidRDefault="0049093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90933" w:rsidRPr="00022853" w14:paraId="1E0CA3B5" w14:textId="77777777" w:rsidTr="005C087B">
        <w:tc>
          <w:tcPr>
            <w:tcW w:w="6771" w:type="dxa"/>
          </w:tcPr>
          <w:p w14:paraId="65EA64B6" w14:textId="77777777" w:rsidR="00490933" w:rsidRPr="00022853" w:rsidRDefault="005D62B3" w:rsidP="008D114A">
            <w:pPr>
              <w:rPr>
                <w:rFonts w:ascii="TH SarabunPSK" w:hAnsi="TH SarabunPSK" w:cs="TH SarabunPSK"/>
              </w:rPr>
            </w:pPr>
            <w:r w:rsidRPr="00022853">
              <w:rPr>
                <w:rFonts w:ascii="TH SarabunPSK" w:hAnsi="TH SarabunPSK" w:cs="TH SarabunPSK"/>
                <w:cs/>
              </w:rPr>
              <w:t>4</w:t>
            </w:r>
            <w:r w:rsidRPr="00022853">
              <w:rPr>
                <w:rFonts w:ascii="TH SarabunPSK" w:hAnsi="TH SarabunPSK" w:cs="TH SarabunPSK"/>
                <w:spacing w:val="-4"/>
                <w:cs/>
              </w:rPr>
              <w:t>. กรณีที่</w:t>
            </w:r>
            <w:r w:rsidR="001449B8" w:rsidRPr="00022853">
              <w:rPr>
                <w:rFonts w:ascii="TH SarabunPSK" w:hAnsi="TH SarabunPSK" w:cs="TH SarabunPSK"/>
                <w:spacing w:val="-4"/>
                <w:cs/>
              </w:rPr>
              <w:t>ผู้ออกตราสาร</w:t>
            </w:r>
            <w:r w:rsidRPr="00022853">
              <w:rPr>
                <w:rFonts w:ascii="TH SarabunPSK" w:hAnsi="TH SarabunPSK" w:cs="TH SarabunPSK"/>
                <w:spacing w:val="-4"/>
                <w:cs/>
              </w:rPr>
              <w:t>เลิกกิจการ ผู้ถือตราสารจะได้รับชำระเงินในลำดับหลังจาก</w:t>
            </w:r>
            <w:r w:rsidRPr="00022853">
              <w:rPr>
                <w:rFonts w:ascii="TH SarabunPSK" w:hAnsi="TH SarabunPSK" w:cs="TH SarabunPSK"/>
                <w:cs/>
              </w:rPr>
              <w:t>ผู้ฝากเงิน</w:t>
            </w:r>
            <w:r w:rsidRPr="00022853">
              <w:rPr>
                <w:rFonts w:ascii="TH SarabunPSK" w:hAnsi="TH SarabunPSK" w:cs="TH SarabunPSK"/>
                <w:spacing w:val="-2"/>
                <w:cs/>
              </w:rPr>
              <w:t xml:space="preserve"> เจ้าหนี้สามัญ และเจ้าหนี้ด้อยสิทธิทุกประเภท รวมถึง</w:t>
            </w:r>
            <w:r w:rsidRPr="00022853">
              <w:rPr>
                <w:rFonts w:ascii="TH SarabunPSK" w:hAnsi="TH SarabunPSK" w:cs="TH SarabunPSK"/>
                <w:cs/>
              </w:rPr>
              <w:t>เจ้าหนี้ด้อยสิทธิที่ถือตราสารที่นับอยู่ในเงินกองทุนชั้นที่ 2</w:t>
            </w:r>
            <w:r w:rsidR="001449B8" w:rsidRPr="00022853">
              <w:rPr>
                <w:rFonts w:ascii="TH SarabunPSK" w:hAnsi="TH SarabunPSK" w:cs="TH SarabunPSK"/>
                <w:cs/>
              </w:rPr>
              <w:t xml:space="preserve"> ของสถาบัน</w:t>
            </w:r>
            <w:r w:rsidR="001449B8" w:rsidRPr="00022853">
              <w:rPr>
                <w:rFonts w:ascii="TH SarabunPSK" w:hAnsi="TH SarabunPSK" w:cs="TH SarabunPSK"/>
                <w:spacing w:val="-2"/>
                <w:cs/>
              </w:rPr>
              <w:t>การเงินเฉพาะกิจนั้น</w:t>
            </w:r>
          </w:p>
        </w:tc>
        <w:tc>
          <w:tcPr>
            <w:tcW w:w="3685" w:type="dxa"/>
          </w:tcPr>
          <w:p w14:paraId="6C268D6E" w14:textId="77777777" w:rsidR="00490933" w:rsidRPr="00022853" w:rsidRDefault="0049093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90933" w:rsidRPr="00022853" w14:paraId="7FAB69F4" w14:textId="77777777" w:rsidTr="005C087B">
        <w:tc>
          <w:tcPr>
            <w:tcW w:w="6771" w:type="dxa"/>
          </w:tcPr>
          <w:p w14:paraId="65F11C36" w14:textId="77777777" w:rsidR="00490933" w:rsidRPr="00022853" w:rsidRDefault="005D62B3">
            <w:pPr>
              <w:rPr>
                <w:rFonts w:ascii="TH SarabunPSK" w:hAnsi="TH SarabunPSK" w:cs="TH SarabunPSK"/>
              </w:rPr>
            </w:pPr>
            <w:r w:rsidRPr="00022853">
              <w:rPr>
                <w:rFonts w:ascii="TH SarabunPSK" w:hAnsi="TH SarabunPSK" w:cs="TH SarabunPSK"/>
                <w:cs/>
              </w:rPr>
              <w:t>5. ไม่มีกำหนดระยะเวลาการชำระคืน</w:t>
            </w:r>
          </w:p>
        </w:tc>
        <w:tc>
          <w:tcPr>
            <w:tcW w:w="3685" w:type="dxa"/>
          </w:tcPr>
          <w:p w14:paraId="6DD42C11" w14:textId="77777777" w:rsidR="00490933" w:rsidRPr="00022853" w:rsidRDefault="0049093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90933" w:rsidRPr="00022853" w14:paraId="7E47C501" w14:textId="77777777" w:rsidTr="005C087B">
        <w:tc>
          <w:tcPr>
            <w:tcW w:w="6771" w:type="dxa"/>
          </w:tcPr>
          <w:p w14:paraId="6E0CB77D" w14:textId="5F0454B3" w:rsidR="00490933" w:rsidRPr="00022853" w:rsidRDefault="005D62B3" w:rsidP="00F11A71">
            <w:pPr>
              <w:rPr>
                <w:rFonts w:ascii="TH SarabunPSK" w:hAnsi="TH SarabunPSK" w:cs="TH SarabunPSK"/>
              </w:rPr>
            </w:pPr>
            <w:r w:rsidRPr="00022853">
              <w:rPr>
                <w:rFonts w:ascii="TH SarabunPSK" w:hAnsi="TH SarabunPSK" w:cs="TH SarabunPSK"/>
                <w:cs/>
              </w:rPr>
              <w:t xml:space="preserve">6. </w:t>
            </w:r>
            <w:r w:rsidR="00F11A71" w:rsidRPr="00022853">
              <w:rPr>
                <w:rFonts w:ascii="TH SarabunPSK" w:hAnsi="TH SarabunPSK" w:cs="TH SarabunPSK"/>
                <w:cs/>
              </w:rPr>
              <w:t>เป็นตราสารที่ออกโดยไม่มีบุคคลใดค้ำประกันและไม่มีทรัพย์สินใดจำนำหรือจำนองเป็นประกัน</w:t>
            </w:r>
          </w:p>
        </w:tc>
        <w:tc>
          <w:tcPr>
            <w:tcW w:w="3685" w:type="dxa"/>
          </w:tcPr>
          <w:p w14:paraId="78E82E5E" w14:textId="77777777" w:rsidR="00490933" w:rsidRPr="00022853" w:rsidRDefault="0049093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D62B3" w:rsidRPr="00022853" w14:paraId="367B1F40" w14:textId="77777777" w:rsidTr="005C087B">
        <w:tc>
          <w:tcPr>
            <w:tcW w:w="6771" w:type="dxa"/>
          </w:tcPr>
          <w:p w14:paraId="225DB71E" w14:textId="77777777" w:rsidR="005D62B3" w:rsidRPr="00022853" w:rsidRDefault="005D62B3" w:rsidP="00BD6E62">
            <w:pPr>
              <w:rPr>
                <w:rFonts w:ascii="TH SarabunPSK" w:hAnsi="TH SarabunPSK" w:cs="TH SarabunPSK"/>
                <w:cs/>
              </w:rPr>
            </w:pPr>
            <w:r w:rsidRPr="00022853">
              <w:rPr>
                <w:rFonts w:ascii="TH SarabunPSK" w:hAnsi="TH SarabunPSK" w:cs="TH SarabunPSK"/>
                <w:cs/>
              </w:rPr>
              <w:t xml:space="preserve">7. </w:t>
            </w:r>
            <w:r w:rsidRPr="00022853">
              <w:rPr>
                <w:rFonts w:ascii="TH SarabunPSK" w:hAnsi="TH SarabunPSK" w:cs="TH SarabunPSK"/>
                <w:cs/>
                <w:lang w:val="th-TH"/>
              </w:rPr>
              <w:t>อาจมีเงื่อนไขในการปรับเพิ่มอัตราผลตอบแทนให้สูงขึ้น (</w:t>
            </w:r>
            <w:r w:rsidRPr="00022853">
              <w:rPr>
                <w:rFonts w:ascii="TH SarabunPSK" w:hAnsi="TH SarabunPSK" w:cs="TH SarabunPSK"/>
              </w:rPr>
              <w:t xml:space="preserve">Step up) </w:t>
            </w:r>
            <w:r w:rsidRPr="00022853">
              <w:rPr>
                <w:rFonts w:ascii="TH SarabunPSK" w:hAnsi="TH SarabunPSK" w:cs="TH SarabunPSK"/>
                <w:cs/>
                <w:lang w:val="th-TH"/>
              </w:rPr>
              <w:t>ได้เพียงครั้งเดียว</w:t>
            </w:r>
            <w:r w:rsidRPr="00022853">
              <w:rPr>
                <w:rFonts w:ascii="TH SarabunPSK" w:hAnsi="TH SarabunPSK" w:cs="TH SarabunPSK"/>
                <w:spacing w:val="-6"/>
                <w:cs/>
                <w:lang w:val="th-TH"/>
              </w:rPr>
              <w:t xml:space="preserve"> ภายหลังปีที่ 10 โดยอัตราที่ปรับเพิ่มสุทธิจากอัตราผลตอบแทนเดิมต้องไม่เกิน 100 </w:t>
            </w:r>
            <w:r w:rsidRPr="00022853">
              <w:rPr>
                <w:rFonts w:ascii="TH SarabunPSK" w:hAnsi="TH SarabunPSK" w:cs="TH SarabunPSK"/>
                <w:spacing w:val="-6"/>
              </w:rPr>
              <w:t xml:space="preserve">basis points </w:t>
            </w:r>
            <w:r w:rsidRPr="00022853">
              <w:rPr>
                <w:rFonts w:ascii="TH SarabunPSK" w:hAnsi="TH SarabunPSK" w:cs="TH SarabunPSK"/>
                <w:spacing w:val="-6"/>
                <w:cs/>
              </w:rPr>
              <w:t xml:space="preserve">ในทุกกรณี กล่าวคือ ไม่เกิน 100 </w:t>
            </w:r>
            <w:r w:rsidRPr="00022853">
              <w:rPr>
                <w:rFonts w:ascii="TH SarabunPSK" w:hAnsi="TH SarabunPSK" w:cs="TH SarabunPSK"/>
                <w:spacing w:val="-6"/>
              </w:rPr>
              <w:t xml:space="preserve">basis points </w:t>
            </w:r>
            <w:r w:rsidRPr="00022853">
              <w:rPr>
                <w:rFonts w:ascii="TH SarabunPSK" w:hAnsi="TH SarabunPSK" w:cs="TH SarabunPSK"/>
                <w:spacing w:val="-6"/>
                <w:cs/>
              </w:rPr>
              <w:t xml:space="preserve">จากอัตราเดิมในกรณีอัตราดอกเบี้ยคงที่ หรือจาก </w:t>
            </w:r>
            <w:r w:rsidRPr="00022853">
              <w:rPr>
                <w:rFonts w:ascii="TH SarabunPSK" w:hAnsi="TH SarabunPSK" w:cs="TH SarabunPSK"/>
                <w:spacing w:val="-6"/>
              </w:rPr>
              <w:t xml:space="preserve">Spread </w:t>
            </w:r>
            <w:r w:rsidRPr="00022853">
              <w:rPr>
                <w:rFonts w:ascii="TH SarabunPSK" w:hAnsi="TH SarabunPSK" w:cs="TH SarabunPSK"/>
                <w:spacing w:val="-6"/>
                <w:cs/>
              </w:rPr>
              <w:t>เดิม ในวันที่ออกตราสาร</w:t>
            </w:r>
            <w:r w:rsidRPr="00022853">
              <w:rPr>
                <w:rFonts w:ascii="TH SarabunPSK" w:hAnsi="TH SarabunPSK" w:cs="TH SarabunPSK"/>
                <w:spacing w:val="-6"/>
                <w:cs/>
                <w:lang w:val="th-TH"/>
              </w:rPr>
              <w:t xml:space="preserve">หนี้ </w:t>
            </w:r>
            <w:r w:rsidRPr="00022853">
              <w:rPr>
                <w:rFonts w:ascii="TH SarabunPSK" w:hAnsi="TH SarabunPSK" w:cs="TH SarabunPSK"/>
                <w:spacing w:val="-6"/>
                <w:cs/>
              </w:rPr>
              <w:t>ในกรณีอัตราดอกเบี้ยลอยตัว</w:t>
            </w:r>
          </w:p>
        </w:tc>
        <w:tc>
          <w:tcPr>
            <w:tcW w:w="3685" w:type="dxa"/>
          </w:tcPr>
          <w:p w14:paraId="0046C834" w14:textId="77777777" w:rsidR="005D62B3" w:rsidRPr="00022853" w:rsidRDefault="005D62B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D62B3" w:rsidRPr="00022853" w14:paraId="6CDE8F57" w14:textId="77777777" w:rsidTr="005C087B">
        <w:tc>
          <w:tcPr>
            <w:tcW w:w="6771" w:type="dxa"/>
          </w:tcPr>
          <w:p w14:paraId="2C6AA21C" w14:textId="77777777" w:rsidR="005D62B3" w:rsidRPr="00022853" w:rsidRDefault="00E439E1" w:rsidP="008D114A">
            <w:pPr>
              <w:rPr>
                <w:rFonts w:ascii="TH SarabunPSK" w:hAnsi="TH SarabunPSK" w:cs="TH SarabunPSK"/>
                <w:cs/>
              </w:rPr>
            </w:pPr>
            <w:r w:rsidRPr="00022853">
              <w:rPr>
                <w:rFonts w:ascii="TH SarabunPSK" w:hAnsi="TH SarabunPSK" w:cs="TH SarabunPSK"/>
                <w:cs/>
              </w:rPr>
              <w:t xml:space="preserve">8. สามารถจ่ายผลตอบแทนของ </w:t>
            </w:r>
            <w:r w:rsidRPr="00022853">
              <w:rPr>
                <w:rFonts w:ascii="TH SarabunPSK" w:hAnsi="TH SarabunPSK" w:cs="TH SarabunPSK"/>
              </w:rPr>
              <w:t xml:space="preserve">HT1 </w:t>
            </w:r>
            <w:r w:rsidRPr="00022853">
              <w:rPr>
                <w:rFonts w:ascii="TH SarabunPSK" w:hAnsi="TH SarabunPSK" w:cs="TH SarabunPSK"/>
                <w:cs/>
              </w:rPr>
              <w:t>ได้โดย</w:t>
            </w:r>
            <w:r w:rsidR="001449B8" w:rsidRPr="00022853">
              <w:rPr>
                <w:rFonts w:ascii="TH SarabunPSK" w:hAnsi="TH SarabunPSK" w:cs="TH SarabunPSK"/>
                <w:cs/>
              </w:rPr>
              <w:t xml:space="preserve"> (1) </w:t>
            </w:r>
            <w:r w:rsidR="008D114A" w:rsidRPr="00022853">
              <w:rPr>
                <w:rFonts w:ascii="TH SarabunPSK" w:hAnsi="TH SarabunPSK" w:cs="TH SarabunPSK"/>
                <w:cs/>
              </w:rPr>
              <w:t xml:space="preserve">กรณีวันจ่ายผลตอบแทนตรงกับวันสิ้นงวดการบัญชี ให้ใช้ประมาณการกำไรสุทธิในงวดการบัญชีที่มีการจ่ายผลตอบแทน มาประกอบการพิจารณาจ่ายผลตอบแทนของตราสารหนี้ด้อยสิทธิที่มีลักษณะคล้ายทุนฯ </w:t>
            </w:r>
            <w:r w:rsidR="008D114A" w:rsidRPr="00022853">
              <w:rPr>
                <w:rFonts w:ascii="TH SarabunPSK" w:hAnsi="TH SarabunPSK" w:cs="TH SarabunPSK"/>
              </w:rPr>
              <w:t>(Hybrid Tier 1)</w:t>
            </w:r>
            <w:r w:rsidR="001449B8" w:rsidRPr="00022853">
              <w:rPr>
                <w:rFonts w:ascii="TH SarabunPSK" w:hAnsi="TH SarabunPSK" w:cs="TH SarabunPSK"/>
                <w:cs/>
              </w:rPr>
              <w:t xml:space="preserve"> </w:t>
            </w:r>
            <w:r w:rsidR="008D114A" w:rsidRPr="00022853">
              <w:rPr>
                <w:rFonts w:ascii="TH SarabunPSK" w:hAnsi="TH SarabunPSK" w:cs="TH SarabunPSK"/>
                <w:cs/>
              </w:rPr>
              <w:t>และ (2) กรณีวันจ่ายผลตอบแทนเป็นวันหลังวันสิ้นงวดการบัญชี ให้ใช้กำไรสุทธิจากงบการเงินของงวดการบัญชีก่อนหน้า มาประกอบการพิจารณาจ่ายผลตอบแทนของตราสารนี้ด้อยสิทธิที่มีลักษณะคล้ายทุนฯ (</w:t>
            </w:r>
            <w:r w:rsidR="008D114A" w:rsidRPr="00022853">
              <w:rPr>
                <w:rFonts w:ascii="TH SarabunPSK" w:hAnsi="TH SarabunPSK" w:cs="TH SarabunPSK"/>
              </w:rPr>
              <w:t xml:space="preserve">Hybrid Tier </w:t>
            </w:r>
            <w:r w:rsidR="008D114A" w:rsidRPr="00022853">
              <w:rPr>
                <w:rFonts w:ascii="TH SarabunPSK" w:hAnsi="TH SarabunPSK" w:cs="TH SarabunPSK"/>
                <w:cs/>
              </w:rPr>
              <w:t>1)</w:t>
            </w:r>
            <w:r w:rsidR="001449B8" w:rsidRPr="00022853">
              <w:rPr>
                <w:rFonts w:ascii="TH SarabunPSK" w:hAnsi="TH SarabunPSK" w:cs="TH SarabunPSK"/>
                <w:cs/>
              </w:rPr>
              <w:t xml:space="preserve"> ทั้งนี้ </w:t>
            </w:r>
            <w:r w:rsidRPr="00022853">
              <w:rPr>
                <w:rFonts w:ascii="TH SarabunPSK" w:hAnsi="TH SarabunPSK" w:cs="TH SarabunPSK"/>
                <w:cs/>
              </w:rPr>
              <w:t xml:space="preserve">สามารถกำหนดเงื่อนไขการจ่ายผลตอบแทนเพียงบางส่วนในหนังสือชี้ชวนได้ ทั้งนี้ </w:t>
            </w:r>
            <w:r w:rsidR="001449B8" w:rsidRPr="00022853">
              <w:rPr>
                <w:rFonts w:ascii="TH SarabunPSK" w:hAnsi="TH SarabunPSK" w:cs="TH SarabunPSK"/>
                <w:cs/>
              </w:rPr>
              <w:t>เมื่อสถาบันการเงินเฉพาะกิจ</w:t>
            </w:r>
            <w:r w:rsidRPr="00022853">
              <w:rPr>
                <w:rFonts w:ascii="TH SarabunPSK" w:hAnsi="TH SarabunPSK" w:cs="TH SarabunPSK"/>
                <w:cs/>
              </w:rPr>
              <w:t>บันทึกบัญชี</w:t>
            </w:r>
            <w:r w:rsidR="001449B8" w:rsidRPr="00022853">
              <w:rPr>
                <w:rFonts w:ascii="TH SarabunPSK" w:hAnsi="TH SarabunPSK" w:cs="TH SarabunPSK"/>
                <w:cs/>
              </w:rPr>
              <w:t xml:space="preserve">รายการผลตอบแทนที่จ่ายแก่ </w:t>
            </w:r>
            <w:r w:rsidR="001449B8" w:rsidRPr="00022853">
              <w:rPr>
                <w:rFonts w:ascii="TH SarabunPSK" w:hAnsi="TH SarabunPSK" w:cs="TH SarabunPSK"/>
              </w:rPr>
              <w:t xml:space="preserve">Hybrid Tier 1 </w:t>
            </w:r>
            <w:r w:rsidR="001449B8" w:rsidRPr="00022853">
              <w:rPr>
                <w:rFonts w:ascii="TH SarabunPSK" w:hAnsi="TH SarabunPSK" w:cs="TH SarabunPSK"/>
                <w:cs/>
              </w:rPr>
              <w:t xml:space="preserve">ในงวดบัญชีที่เกี่ยวข้องตามมาตรฐานการบัญชีที่เป็นที่ยอมรับโดยทั่วไปแล้ว </w:t>
            </w:r>
            <w:r w:rsidRPr="00022853">
              <w:rPr>
                <w:rFonts w:ascii="TH SarabunPSK" w:hAnsi="TH SarabunPSK" w:cs="TH SarabunPSK"/>
                <w:cs/>
              </w:rPr>
              <w:t>งบกำไรขาดทุนเบ็ดเสร็จของงวดการบัญชีนั้นต้องไม่มีผลขาดทุนสุทธิ</w:t>
            </w:r>
          </w:p>
        </w:tc>
        <w:tc>
          <w:tcPr>
            <w:tcW w:w="3685" w:type="dxa"/>
          </w:tcPr>
          <w:p w14:paraId="11D9D574" w14:textId="77777777" w:rsidR="005D62B3" w:rsidRPr="00022853" w:rsidRDefault="005D62B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D62B3" w:rsidRPr="00022853" w14:paraId="2FCA5F9A" w14:textId="77777777" w:rsidTr="005C087B">
        <w:tc>
          <w:tcPr>
            <w:tcW w:w="6771" w:type="dxa"/>
          </w:tcPr>
          <w:p w14:paraId="312DF265" w14:textId="77777777" w:rsidR="005D62B3" w:rsidRPr="00022853" w:rsidRDefault="00E439E1" w:rsidP="001449B8">
            <w:pPr>
              <w:rPr>
                <w:rFonts w:ascii="TH SarabunPSK" w:hAnsi="TH SarabunPSK" w:cs="TH SarabunPSK"/>
                <w:cs/>
              </w:rPr>
            </w:pPr>
            <w:r w:rsidRPr="00022853">
              <w:rPr>
                <w:rFonts w:ascii="TH SarabunPSK" w:hAnsi="TH SarabunPSK" w:cs="TH SarabunPSK"/>
                <w:cs/>
              </w:rPr>
              <w:t xml:space="preserve">9. </w:t>
            </w:r>
            <w:r w:rsidRPr="00022853">
              <w:rPr>
                <w:rFonts w:ascii="TH SarabunPSK" w:hAnsi="TH SarabunPSK" w:cs="TH SarabunPSK"/>
                <w:spacing w:val="-6"/>
                <w:cs/>
              </w:rPr>
              <w:t>กำหนดเงื่อนไขการไถ่ถอนไว้ในข้อกำหนดสิทธิ</w:t>
            </w:r>
            <w:r w:rsidR="00806959" w:rsidRPr="00022853">
              <w:rPr>
                <w:rFonts w:ascii="TH SarabunPSK" w:hAnsi="TH SarabunPSK" w:cs="TH SarabunPSK"/>
                <w:spacing w:val="-6"/>
                <w:cs/>
              </w:rPr>
              <w:t xml:space="preserve">ในหนังสือชี้ชวน และจะไถ่ถอนได้หลังจาก 5 ปี นับจากวันที่ออกตราสารนั้น </w:t>
            </w:r>
            <w:r w:rsidR="001449B8" w:rsidRPr="00022853">
              <w:rPr>
                <w:rFonts w:ascii="TH SarabunPSK" w:hAnsi="TH SarabunPSK" w:cs="TH SarabunPSK"/>
                <w:spacing w:val="-6"/>
                <w:cs/>
              </w:rPr>
              <w:t>โดยต้องได้รับความเห็นชอบจากธนาคารแห่งประเทศไทยก่อนไถ่ถอน</w:t>
            </w:r>
            <w:r w:rsidR="00806959" w:rsidRPr="00022853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3685" w:type="dxa"/>
          </w:tcPr>
          <w:p w14:paraId="4AB8D4D9" w14:textId="77777777" w:rsidR="005D62B3" w:rsidRPr="00022853" w:rsidRDefault="005D62B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D62B3" w:rsidRPr="00022853" w14:paraId="3EC2B0A6" w14:textId="77777777" w:rsidTr="005C087B">
        <w:tc>
          <w:tcPr>
            <w:tcW w:w="6771" w:type="dxa"/>
          </w:tcPr>
          <w:p w14:paraId="01C25776" w14:textId="77777777" w:rsidR="00806959" w:rsidRPr="00022853" w:rsidRDefault="00806959" w:rsidP="008D114A">
            <w:pPr>
              <w:tabs>
                <w:tab w:val="left" w:pos="1418"/>
                <w:tab w:val="left" w:pos="1843"/>
              </w:tabs>
              <w:outlineLvl w:val="0"/>
              <w:rPr>
                <w:rFonts w:ascii="TH SarabunPSK" w:hAnsi="TH SarabunPSK" w:cs="TH SarabunPSK"/>
                <w:cs/>
              </w:rPr>
            </w:pPr>
            <w:r w:rsidRPr="00022853">
              <w:rPr>
                <w:rFonts w:ascii="TH SarabunPSK" w:hAnsi="TH SarabunPSK" w:cs="TH SarabunPSK"/>
                <w:cs/>
              </w:rPr>
              <w:t xml:space="preserve">10. กำหนดสิทธิซื้อคืน </w:t>
            </w:r>
            <w:r w:rsidRPr="00022853">
              <w:rPr>
                <w:rFonts w:ascii="TH SarabunPSK" w:hAnsi="TH SarabunPSK" w:cs="TH SarabunPSK"/>
              </w:rPr>
              <w:t xml:space="preserve">HT1 </w:t>
            </w:r>
            <w:r w:rsidRPr="00022853">
              <w:rPr>
                <w:rFonts w:ascii="TH SarabunPSK" w:hAnsi="TH SarabunPSK" w:cs="TH SarabunPSK"/>
                <w:cs/>
              </w:rPr>
              <w:t>ดังกล่าวได้</w:t>
            </w:r>
            <w:r w:rsidR="001449B8" w:rsidRPr="00022853">
              <w:rPr>
                <w:rFonts w:ascii="TH SarabunPSK" w:hAnsi="TH SarabunPSK" w:cs="TH SarabunPSK"/>
                <w:cs/>
              </w:rPr>
              <w:t xml:space="preserve"> โดย</w:t>
            </w:r>
            <w:r w:rsidRPr="00022853">
              <w:rPr>
                <w:rFonts w:ascii="TH SarabunPSK" w:hAnsi="TH SarabunPSK" w:cs="TH SarabunPSK"/>
                <w:cs/>
              </w:rPr>
              <w:t>ต้องได้รับ</w:t>
            </w:r>
            <w:r w:rsidRPr="00022853">
              <w:rPr>
                <w:rFonts w:ascii="TH SarabunPSK" w:hAnsi="TH SarabunPSK" w:cs="TH SarabunPSK"/>
                <w:spacing w:val="-2"/>
                <w:cs/>
              </w:rPr>
              <w:t xml:space="preserve">ความเห็นชอบจากธนาคารแห่งประเทศไทยก่อนซื้อคืน </w:t>
            </w:r>
          </w:p>
        </w:tc>
        <w:tc>
          <w:tcPr>
            <w:tcW w:w="3685" w:type="dxa"/>
          </w:tcPr>
          <w:p w14:paraId="17A20C68" w14:textId="77777777" w:rsidR="005D62B3" w:rsidRPr="00022853" w:rsidRDefault="005D62B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B0E9552" w14:textId="77777777" w:rsidR="005D62B3" w:rsidRPr="00022853" w:rsidRDefault="005D62B3" w:rsidP="004D73AC">
      <w:pPr>
        <w:jc w:val="center"/>
        <w:rPr>
          <w:rFonts w:ascii="TH SarabunPSK" w:hAnsi="TH SarabunPSK" w:cs="TH SarabunPSK"/>
        </w:rPr>
      </w:pPr>
    </w:p>
    <w:sectPr w:rsidR="005D62B3" w:rsidRPr="00022853" w:rsidSect="005C087B">
      <w:pgSz w:w="11909" w:h="16834" w:code="9"/>
      <w:pgMar w:top="709" w:right="1080" w:bottom="1440" w:left="108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D0DC9" w14:textId="77777777" w:rsidR="00A96734" w:rsidRDefault="00A96734" w:rsidP="00A96734">
      <w:pPr>
        <w:spacing w:after="0" w:line="240" w:lineRule="auto"/>
      </w:pPr>
      <w:r>
        <w:separator/>
      </w:r>
    </w:p>
  </w:endnote>
  <w:endnote w:type="continuationSeparator" w:id="0">
    <w:p w14:paraId="69AD48C4" w14:textId="77777777" w:rsidR="00A96734" w:rsidRDefault="00A96734" w:rsidP="00A9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8E6DE" w14:textId="77777777" w:rsidR="00A96734" w:rsidRDefault="00A96734" w:rsidP="00A96734">
      <w:pPr>
        <w:spacing w:after="0" w:line="240" w:lineRule="auto"/>
      </w:pPr>
      <w:r>
        <w:separator/>
      </w:r>
    </w:p>
  </w:footnote>
  <w:footnote w:type="continuationSeparator" w:id="0">
    <w:p w14:paraId="572CC3AA" w14:textId="77777777" w:rsidR="00A96734" w:rsidRDefault="00A96734" w:rsidP="00A96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33"/>
    <w:rsid w:val="00010694"/>
    <w:rsid w:val="00022853"/>
    <w:rsid w:val="000B79B0"/>
    <w:rsid w:val="000C103F"/>
    <w:rsid w:val="000C19F7"/>
    <w:rsid w:val="000E1F62"/>
    <w:rsid w:val="000F14CB"/>
    <w:rsid w:val="001449B8"/>
    <w:rsid w:val="00156BD9"/>
    <w:rsid w:val="001668F0"/>
    <w:rsid w:val="00166AD3"/>
    <w:rsid w:val="00172523"/>
    <w:rsid w:val="00180455"/>
    <w:rsid w:val="001E2E6F"/>
    <w:rsid w:val="00222992"/>
    <w:rsid w:val="00281AB9"/>
    <w:rsid w:val="0028788D"/>
    <w:rsid w:val="002944AC"/>
    <w:rsid w:val="002A34C9"/>
    <w:rsid w:val="002C5A32"/>
    <w:rsid w:val="002C62EB"/>
    <w:rsid w:val="002C6454"/>
    <w:rsid w:val="00302620"/>
    <w:rsid w:val="003153FD"/>
    <w:rsid w:val="00315A27"/>
    <w:rsid w:val="00334245"/>
    <w:rsid w:val="003A5581"/>
    <w:rsid w:val="003B59DA"/>
    <w:rsid w:val="003D7717"/>
    <w:rsid w:val="003F15B6"/>
    <w:rsid w:val="00402E15"/>
    <w:rsid w:val="00440158"/>
    <w:rsid w:val="00490933"/>
    <w:rsid w:val="00496DA3"/>
    <w:rsid w:val="004D73AC"/>
    <w:rsid w:val="00536CD9"/>
    <w:rsid w:val="00552CC7"/>
    <w:rsid w:val="00576562"/>
    <w:rsid w:val="0059250A"/>
    <w:rsid w:val="005A48E5"/>
    <w:rsid w:val="005C087B"/>
    <w:rsid w:val="005D3B1A"/>
    <w:rsid w:val="005D62B3"/>
    <w:rsid w:val="005F7291"/>
    <w:rsid w:val="00631AE3"/>
    <w:rsid w:val="00683CBD"/>
    <w:rsid w:val="00711731"/>
    <w:rsid w:val="007C0399"/>
    <w:rsid w:val="007D4F99"/>
    <w:rsid w:val="00806959"/>
    <w:rsid w:val="00814EA7"/>
    <w:rsid w:val="0083644C"/>
    <w:rsid w:val="008952B2"/>
    <w:rsid w:val="008A1373"/>
    <w:rsid w:val="008B3D3B"/>
    <w:rsid w:val="008D114A"/>
    <w:rsid w:val="008E7C5F"/>
    <w:rsid w:val="00913D49"/>
    <w:rsid w:val="00A27298"/>
    <w:rsid w:val="00A7273B"/>
    <w:rsid w:val="00A96734"/>
    <w:rsid w:val="00AD7FB2"/>
    <w:rsid w:val="00B61709"/>
    <w:rsid w:val="00B64228"/>
    <w:rsid w:val="00B906A9"/>
    <w:rsid w:val="00B90A6F"/>
    <w:rsid w:val="00BC5B60"/>
    <w:rsid w:val="00BD6E62"/>
    <w:rsid w:val="00BF5B50"/>
    <w:rsid w:val="00C336C9"/>
    <w:rsid w:val="00C96144"/>
    <w:rsid w:val="00D33DE4"/>
    <w:rsid w:val="00DC1597"/>
    <w:rsid w:val="00E20B02"/>
    <w:rsid w:val="00E439E1"/>
    <w:rsid w:val="00E94F79"/>
    <w:rsid w:val="00EA1B21"/>
    <w:rsid w:val="00EE1BAB"/>
    <w:rsid w:val="00F11A71"/>
    <w:rsid w:val="00F27126"/>
    <w:rsid w:val="00F7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2F463"/>
  <w15:docId w15:val="{7FB01772-E2B9-405F-966E-3F9C3FBD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BD9"/>
    <w:pPr>
      <w:ind w:left="720"/>
      <w:contextualSpacing/>
    </w:pPr>
  </w:style>
  <w:style w:type="table" w:styleId="TableGrid">
    <w:name w:val="Table Grid"/>
    <w:basedOn w:val="TableNormal"/>
    <w:uiPriority w:val="59"/>
    <w:rsid w:val="00490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90A6F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B90A6F"/>
    <w:rPr>
      <w:rFonts w:ascii="Angsana New" w:eastAsia="Times New Roman" w:hAnsi="Angsana New" w:cs="Angsana New"/>
    </w:rPr>
  </w:style>
  <w:style w:type="character" w:styleId="PageNumber">
    <w:name w:val="page number"/>
    <w:basedOn w:val="DefaultParagraphFont"/>
    <w:rsid w:val="00B90A6F"/>
  </w:style>
  <w:style w:type="character" w:styleId="CommentReference">
    <w:name w:val="annotation reference"/>
    <w:basedOn w:val="DefaultParagraphFont"/>
    <w:uiPriority w:val="99"/>
    <w:semiHidden/>
    <w:unhideWhenUsed/>
    <w:rsid w:val="00B90A6F"/>
    <w:rPr>
      <w:sz w:val="16"/>
      <w:szCs w:val="18"/>
    </w:rPr>
  </w:style>
  <w:style w:type="paragraph" w:styleId="CommentText">
    <w:name w:val="annotation text"/>
    <w:basedOn w:val="Normal"/>
    <w:link w:val="CommentTextChar"/>
    <w:unhideWhenUsed/>
    <w:rsid w:val="00B90A6F"/>
    <w:pPr>
      <w:spacing w:after="0" w:line="240" w:lineRule="auto"/>
    </w:pPr>
    <w:rPr>
      <w:rFonts w:ascii="TH SarabunPSK" w:eastAsia="Times New Roman" w:hAnsi="TH SarabunPSK" w:cs="TH SarabunPSK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B90A6F"/>
    <w:rPr>
      <w:rFonts w:ascii="TH SarabunPSK" w:eastAsia="Times New Roman" w:hAnsi="TH SarabunPSK" w:cs="TH SarabunPSK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A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A6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78F617E32114F87CF8709F5757229" ma:contentTypeVersion="1" ma:contentTypeDescription="Create a new document." ma:contentTypeScope="" ma:versionID="4feae56444d43b7643013a10a4f01d0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DE28B-9920-4C0D-8DBA-ACA70C6A8F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E0243E-27C3-4D0D-8F4A-935A4373A6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C3046C-3928-4484-A241-AEA4476BD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1FF627-C457-4EC3-A566-889848DA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ตัวอย่างตารางสรุป Term Sheet กรณีตราสารเงินกองทุนชั้นที่ 1</vt:lpstr>
    </vt:vector>
  </TitlesOfParts>
  <Company>Bank of Thailand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ตัวอย่างตารางสรุป Term Sheet กรณีตราสารเงินกองทุนชั้นที่ 1</dc:title>
  <dc:creator>BOT</dc:creator>
  <cp:lastModifiedBy>Chutima Kriengphan (ชุติมา เกรียงพันธุ์)</cp:lastModifiedBy>
  <cp:revision>2</cp:revision>
  <cp:lastPrinted>2016-03-25T11:12:00Z</cp:lastPrinted>
  <dcterms:created xsi:type="dcterms:W3CDTF">2023-03-20T04:00:00Z</dcterms:created>
  <dcterms:modified xsi:type="dcterms:W3CDTF">2023-03-20T04:00:00Z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0x010100BC278F617E32114F87CF8709F5757229</vt:lpwstr>
  </property>
  <property fmtid="{D5CDD505-2E9C-101B-9397-08002B2CF9AE}" pid="3" name="Order">
    <vt:r8>19500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2023-03-20T04:00:02Z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53958017-cd2f-40b9-bc2e-5e8e6dceed4a</vt:lpwstr>
  </property>
  <property fmtid="{D5CDD505-2E9C-101B-9397-08002B2CF9AE}" pid="15" name="MSIP_Label_57ef099a-7fa4-4e34-953d-f6f34188ebfd_ContentBits">
    <vt:lpwstr>0</vt:lpwstr>
  </property>
</Properties>
</file>