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E50EDF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E50EDF">
        <w:rPr>
          <w:rFonts w:cs="Tahoma"/>
          <w:sz w:val="20"/>
          <w:szCs w:val="20"/>
        </w:rPr>
        <w:t>Summary of changes on “</w:t>
      </w:r>
      <w:r w:rsidR="001C7901" w:rsidRPr="00E50EDF">
        <w:rPr>
          <w:rFonts w:cs="Tahoma"/>
          <w:sz w:val="20"/>
          <w:szCs w:val="20"/>
          <w:u w:val="single"/>
        </w:rPr>
        <w:t xml:space="preserve">DMS </w:t>
      </w:r>
      <w:r w:rsidRPr="00E50EDF">
        <w:rPr>
          <w:rFonts w:cs="Tahoma"/>
          <w:sz w:val="20"/>
          <w:szCs w:val="20"/>
          <w:u w:val="single"/>
        </w:rPr>
        <w:t>Classification Document</w:t>
      </w:r>
      <w:r w:rsidRPr="00E50EDF">
        <w:rPr>
          <w:rFonts w:cs="Tahoma"/>
          <w:sz w:val="20"/>
          <w:szCs w:val="20"/>
        </w:rPr>
        <w:t xml:space="preserve">” </w:t>
      </w:r>
    </w:p>
    <w:p w14:paraId="230E4BE4" w14:textId="13453DED" w:rsidR="00454EA0" w:rsidRPr="00E50EDF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E50EDF">
        <w:rPr>
          <w:rFonts w:cs="Tahoma"/>
          <w:sz w:val="20"/>
          <w:szCs w:val="20"/>
        </w:rPr>
        <w:t xml:space="preserve">Update on </w:t>
      </w:r>
      <w:r w:rsidR="001C7901" w:rsidRPr="00E50EDF">
        <w:rPr>
          <w:rFonts w:cs="Tahoma"/>
          <w:sz w:val="20"/>
          <w:szCs w:val="20"/>
        </w:rPr>
        <w:t xml:space="preserve">DMS </w:t>
      </w:r>
      <w:r w:rsidRPr="00E50EDF">
        <w:rPr>
          <w:rFonts w:cs="Tahoma"/>
          <w:sz w:val="20"/>
          <w:szCs w:val="20"/>
        </w:rPr>
        <w:t xml:space="preserve">Classification Document version </w:t>
      </w:r>
      <w:r w:rsidR="001D30E4" w:rsidRPr="00E50EDF">
        <w:rPr>
          <w:rFonts w:cs="Tahoma"/>
          <w:sz w:val="20"/>
          <w:szCs w:val="20"/>
          <w:cs/>
          <w:lang w:bidi="th-TH"/>
        </w:rPr>
        <w:t>19.</w:t>
      </w:r>
      <w:r w:rsidR="008365B3" w:rsidRPr="00E50EDF">
        <w:rPr>
          <w:rFonts w:cs="Tahoma"/>
          <w:sz w:val="20"/>
          <w:szCs w:val="20"/>
          <w:lang w:bidi="th-TH"/>
        </w:rPr>
        <w:t>3</w:t>
      </w:r>
    </w:p>
    <w:p w14:paraId="7682404B" w14:textId="3B133FC6" w:rsidR="00EC03D9" w:rsidRPr="00E50EDF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E50EDF">
        <w:rPr>
          <w:rFonts w:cs="Tahoma"/>
          <w:sz w:val="20"/>
          <w:szCs w:val="20"/>
        </w:rPr>
        <w:t>Remark</w:t>
      </w:r>
      <w:r w:rsidR="002B574F" w:rsidRPr="00E50EDF">
        <w:rPr>
          <w:rFonts w:cs="Tahoma"/>
          <w:sz w:val="20"/>
          <w:szCs w:val="20"/>
        </w:rPr>
        <w:t xml:space="preserve">: </w:t>
      </w:r>
      <w:r w:rsidRPr="00E50EDF">
        <w:rPr>
          <w:rFonts w:cs="Tahoma"/>
          <w:sz w:val="20"/>
          <w:szCs w:val="20"/>
        </w:rPr>
        <w:t xml:space="preserve">All changes from version </w:t>
      </w:r>
      <w:r w:rsidR="008365B3" w:rsidRPr="00E50EDF">
        <w:rPr>
          <w:rFonts w:cs="Tahoma"/>
          <w:sz w:val="20"/>
          <w:szCs w:val="20"/>
        </w:rPr>
        <w:t>19.3</w:t>
      </w:r>
      <w:r w:rsidRPr="00E50EDF">
        <w:rPr>
          <w:rFonts w:cs="Tahoma"/>
          <w:sz w:val="20"/>
          <w:szCs w:val="20"/>
        </w:rPr>
        <w:t xml:space="preserve"> to version </w:t>
      </w:r>
      <w:r w:rsidR="008365B3" w:rsidRPr="00E50EDF">
        <w:rPr>
          <w:rFonts w:cs="Tahoma"/>
          <w:sz w:val="20"/>
          <w:szCs w:val="20"/>
        </w:rPr>
        <w:t>19.4</w:t>
      </w:r>
      <w:r w:rsidR="00016D96" w:rsidRPr="00E50EDF">
        <w:rPr>
          <w:rFonts w:cs="Tahoma"/>
          <w:sz w:val="20"/>
          <w:szCs w:val="20"/>
        </w:rPr>
        <w:t xml:space="preserve"> </w:t>
      </w:r>
      <w:r w:rsidRPr="00E50EDF">
        <w:rPr>
          <w:rFonts w:cs="Tahoma"/>
          <w:sz w:val="20"/>
          <w:szCs w:val="20"/>
        </w:rPr>
        <w:t>are in</w:t>
      </w:r>
      <w:r w:rsidR="00740610" w:rsidRPr="00E50EDF">
        <w:rPr>
          <w:rFonts w:cs="Tahoma"/>
          <w:sz w:val="20"/>
          <w:szCs w:val="20"/>
        </w:rPr>
        <w:t xml:space="preserve"> </w:t>
      </w:r>
      <w:r w:rsidR="008365B3" w:rsidRPr="00E50EDF">
        <w:rPr>
          <w:rFonts w:cs="Tahoma"/>
          <w:color w:val="FF00FF"/>
          <w:sz w:val="20"/>
          <w:szCs w:val="20"/>
          <w:lang w:bidi="th-TH"/>
        </w:rPr>
        <w:t>pink</w:t>
      </w:r>
      <w:r w:rsidR="00E21C90" w:rsidRPr="00E50EDF">
        <w:rPr>
          <w:rFonts w:cs="Tahoma"/>
          <w:color w:val="FF00FF"/>
          <w:sz w:val="20"/>
          <w:szCs w:val="20"/>
          <w:lang w:bidi="th-TH"/>
        </w:rPr>
        <w:t xml:space="preserve"> font.</w:t>
      </w:r>
      <w:r w:rsidR="00E21C90" w:rsidRPr="00E50EDF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  <w:r w:rsidR="00ED465A" w:rsidRPr="00E50EDF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2380"/>
        <w:gridCol w:w="1896"/>
        <w:gridCol w:w="7824"/>
      </w:tblGrid>
      <w:tr w:rsidR="00535DD0" w:rsidRPr="00E50EDF" w14:paraId="56EB5E75" w14:textId="77777777" w:rsidTr="006B60CB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380" w:type="dxa"/>
            <w:tcBorders>
              <w:top w:val="single" w:sz="4" w:space="0" w:color="auto"/>
            </w:tcBorders>
          </w:tcPr>
          <w:p w14:paraId="211FECC3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7824" w:type="dxa"/>
            <w:tcBorders>
              <w:top w:val="single" w:sz="4" w:space="0" w:color="auto"/>
            </w:tcBorders>
          </w:tcPr>
          <w:p w14:paraId="5E7C057C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E50EDF" w:rsidRPr="00E50EDF" w14:paraId="6346B0F5" w14:textId="77777777" w:rsidTr="006B60CB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13E17B38" w14:textId="7EDC0597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V 19.4</w:t>
            </w:r>
          </w:p>
        </w:tc>
        <w:tc>
          <w:tcPr>
            <w:tcW w:w="1103" w:type="dxa"/>
            <w:shd w:val="clear" w:color="auto" w:fill="auto"/>
          </w:tcPr>
          <w:p w14:paraId="4C40D0EF" w14:textId="07DB89D1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380" w:type="dxa"/>
            <w:shd w:val="clear" w:color="auto" w:fill="auto"/>
          </w:tcPr>
          <w:p w14:paraId="6D9C4680" w14:textId="248C2093" w:rsidR="00E50EDF" w:rsidRPr="00E50EDF" w:rsidRDefault="00E50EDF" w:rsidP="008365B3">
            <w:pPr>
              <w:pStyle w:val="TableText"/>
              <w:spacing w:before="120" w:line="360" w:lineRule="auto"/>
              <w:rPr>
                <w:rFonts w:cs="Tahoma"/>
              </w:rPr>
            </w:pPr>
            <w:bookmarkStart w:id="0" w:name="_Toc21523883"/>
            <w:bookmarkStart w:id="1" w:name="_Toc24945577"/>
            <w:bookmarkStart w:id="2" w:name="_Toc15477755"/>
            <w:r w:rsidRPr="00E50EDF">
              <w:rPr>
                <w:rFonts w:cs="Tahoma"/>
                <w:color w:val="000000" w:themeColor="text1"/>
              </w:rPr>
              <w:t>Arrangement Type</w:t>
            </w:r>
            <w:bookmarkEnd w:id="0"/>
            <w:bookmarkEnd w:id="1"/>
            <w:bookmarkEnd w:id="2"/>
          </w:p>
        </w:tc>
        <w:tc>
          <w:tcPr>
            <w:tcW w:w="1896" w:type="dxa"/>
          </w:tcPr>
          <w:p w14:paraId="1F498900" w14:textId="50FA95BD" w:rsidR="00E50EDF" w:rsidRPr="00E50EDF" w:rsidRDefault="00E50EDF" w:rsidP="008365B3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cs/>
                <w:lang w:bidi="th-TH"/>
              </w:rPr>
            </w:pPr>
            <w:r w:rsidRPr="00E50EDF">
              <w:rPr>
                <w:rFonts w:cs="Tahoma"/>
                <w:color w:val="000000" w:themeColor="text1"/>
              </w:rPr>
              <w:t>018076</w:t>
            </w:r>
            <w:r w:rsidRPr="00E50EDF">
              <w:rPr>
                <w:rFonts w:cs="Tahoma"/>
                <w:color w:val="0000FF"/>
                <w:rtl/>
              </w:rPr>
              <w:t xml:space="preserve"> </w:t>
            </w:r>
            <w:r w:rsidRPr="00E50EDF">
              <w:rPr>
                <w:rFonts w:cs="Tahoma"/>
                <w:color w:val="000000" w:themeColor="text1"/>
                <w:cs/>
                <w:lang w:bidi="th-TH"/>
              </w:rPr>
              <w:t xml:space="preserve">และ </w:t>
            </w:r>
            <w:r w:rsidRPr="00E50EDF">
              <w:rPr>
                <w:rFonts w:cs="Tahoma"/>
                <w:color w:val="000000" w:themeColor="text1"/>
              </w:rPr>
              <w:t>018094</w:t>
            </w:r>
          </w:p>
        </w:tc>
        <w:tc>
          <w:tcPr>
            <w:tcW w:w="7824" w:type="dxa"/>
          </w:tcPr>
          <w:p w14:paraId="63197913" w14:textId="57E8311F" w:rsidR="00E50EDF" w:rsidRPr="00E50EDF" w:rsidRDefault="00E50EDF" w:rsidP="008365B3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Add “</w:t>
            </w:r>
            <w:r w:rsidRPr="00AD5205">
              <w:rPr>
                <w:rFonts w:ascii="Tahoma" w:hAnsi="Tahoma" w:cs="Tahoma"/>
                <w:color w:val="FF00FF"/>
                <w:sz w:val="20"/>
                <w:szCs w:val="20"/>
              </w:rPr>
              <w:t>X</w:t>
            </w:r>
            <w:r w:rsidRPr="00E50EDF">
              <w:rPr>
                <w:rFonts w:ascii="Tahoma" w:hAnsi="Tahoma" w:cs="Tahoma"/>
                <w:sz w:val="20"/>
                <w:szCs w:val="20"/>
              </w:rPr>
              <w:t>” in column V_CONTINGENT</w:t>
            </w:r>
          </w:p>
        </w:tc>
      </w:tr>
      <w:tr w:rsidR="00E50EDF" w:rsidRPr="00E50EDF" w14:paraId="4DC76685" w14:textId="77777777" w:rsidTr="006B60C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5F1849DD" w14:textId="69A5207B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1D68597" w14:textId="6C514817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167</w:t>
            </w:r>
          </w:p>
        </w:tc>
        <w:tc>
          <w:tcPr>
            <w:tcW w:w="2380" w:type="dxa"/>
            <w:shd w:val="clear" w:color="auto" w:fill="auto"/>
          </w:tcPr>
          <w:p w14:paraId="5DCFD7AE" w14:textId="379EA63D" w:rsidR="00E50EDF" w:rsidRPr="00E50EDF" w:rsidRDefault="00E50EDF" w:rsidP="008365B3">
            <w:pPr>
              <w:pStyle w:val="TableText"/>
              <w:spacing w:before="120" w:line="360" w:lineRule="auto"/>
              <w:rPr>
                <w:rFonts w:cs="Tahoma"/>
                <w:color w:val="0D0D0D" w:themeColor="text1" w:themeTint="F2"/>
                <w:cs/>
                <w:lang w:bidi="th-TH"/>
              </w:rPr>
            </w:pPr>
            <w:r w:rsidRPr="00E50EDF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099228A6" w14:textId="62496A5B" w:rsidR="00E50EDF" w:rsidRPr="00E50EDF" w:rsidRDefault="00E50EDF" w:rsidP="008365B3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E50EDF">
              <w:rPr>
                <w:rFonts w:cs="Tahoma"/>
                <w:color w:val="0000FF"/>
                <w:rtl/>
                <w:cs/>
              </w:rPr>
              <w:t>940246</w:t>
            </w:r>
          </w:p>
        </w:tc>
        <w:tc>
          <w:tcPr>
            <w:tcW w:w="7824" w:type="dxa"/>
          </w:tcPr>
          <w:p w14:paraId="45A2DBEB" w14:textId="77777777" w:rsidR="00E50EDF" w:rsidRPr="00E50EDF" w:rsidRDefault="00E50EDF" w:rsidP="008365B3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13DB9161" w14:textId="77777777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E50EDF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0ED5F1FC" w14:textId="4ACF7CA0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color w:val="FF00FF"/>
                <w:sz w:val="20"/>
                <w:szCs w:val="20"/>
                <w:highlight w:val="yellow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from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“เงินสำรอง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50EDF">
              <w:rPr>
                <w:rFonts w:ascii="Tahoma" w:hAnsi="Tahoma" w:cs="Tahoma"/>
                <w:sz w:val="20"/>
                <w:szCs w:val="20"/>
              </w:rPr>
              <w:t>General Provision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ได้แก่ เงินสำรองสำหรับสินทรัพย์และภาระผูกพันที่ไม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เงินสำรองสำหรับสินทรัพย์และภาระผูกพันที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under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แต่ไม่รวมถึงเงินสำรอง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ที่นับเป็น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แล้ว โดยเงินสำรอง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Solo consolidation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ต้องได้รับอนุญาตจากธนาคารแห่งประเทศไทยในเรื่องหลักเกณฑ์การจัดชั้นและการกันเงินสำรองของบริษัทนั้น ๆ ก่อน ตามที่กำหนดในหลักเกณฑ์การกำกับดูแลเงินกองทุนของกลุ่มธุรกิจทางการเงิน </w:t>
            </w:r>
          </w:p>
          <w:p w14:paraId="629AE459" w14:textId="77777777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จะนับ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General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 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ตามหลักเกณฑ์ที่กำหนดใน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 SA</w:t>
            </w:r>
          </w:p>
          <w:p w14:paraId="6964E2E5" w14:textId="6B37213E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IRB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จะนับ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General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ที่ได้จัดสรรให้แก่พอร์ตสินทรัพย์ที่ใช้วิธี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>IRB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E614EEB" w14:textId="77777777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42C17E2" w14:textId="77777777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color w:val="FF00FF"/>
                <w:sz w:val="20"/>
                <w:szCs w:val="20"/>
                <w:highlight w:val="yellow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“เงินสำรอง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50EDF">
              <w:rPr>
                <w:rFonts w:ascii="Tahoma" w:hAnsi="Tahoma" w:cs="Tahoma"/>
                <w:sz w:val="20"/>
                <w:szCs w:val="20"/>
              </w:rPr>
              <w:t>General Provision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ได้แก่ เงินสำรองสำหรับสินทรัพย์และภาระผูกพันที่ไม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เงินสำรองสำหรับสินทรัพย์และภาระผูกพันที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under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แต่ไม่รวมถึงเงินสำรอง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ที่นับเป็น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แล้ว โดยเงินสำรอง</w:t>
            </w:r>
            <w:r w:rsidRPr="00E50ED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ทั่วไป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Solo consolidation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ต้องได้รับอนุญาตจากธนาคารแห่งประเทศไทยในเรื่องหลักเกณฑ์การจัดชั้นและการกันเงินสำรองของบริษัทนั้น ๆ ก่อน ตามที่กำหนดในหลักเกณฑ์การกำกับดูแลเงินกองทุนของกลุ่มธุรกิจทางการเงิน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และให้หมายรวมถึงเงินสำรองทั่วไป (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</w:rPr>
              <w:t xml:space="preserve">General provisions)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ตามประกาศธนาคารแห่งประเทศไทย เรื่อง การดำรงเงินสำรองขั้นต่ำด้านเงินกองทุนของสถาบันการเงินและกลุ่มธุรกิจทางการเงินด้วย</w:t>
            </w:r>
          </w:p>
          <w:p w14:paraId="4A5651E8" w14:textId="77777777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จะนับ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General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 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 SA</w:t>
            </w:r>
          </w:p>
          <w:p w14:paraId="472E1423" w14:textId="154D1FF3" w:rsidR="00E50EDF" w:rsidRPr="00E50EDF" w:rsidRDefault="00E50EDF" w:rsidP="008365B3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IRB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จะนับ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General Provision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ที่ได้จัดสรรให้แก่พอร์ตสินทรัพย์ที่ใช้วิธี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E50EDF">
              <w:rPr>
                <w:rFonts w:ascii="Tahoma" w:hAnsi="Tahoma" w:cs="Tahoma"/>
                <w:sz w:val="20"/>
                <w:szCs w:val="20"/>
              </w:rPr>
              <w:t>IRB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E50EDF" w:rsidRPr="00E50EDF" w14:paraId="4A1D415D" w14:textId="77777777" w:rsidTr="006B60C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8C96A01" w14:textId="77777777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1103" w:type="dxa"/>
            <w:shd w:val="clear" w:color="auto" w:fill="auto"/>
          </w:tcPr>
          <w:p w14:paraId="21F474A4" w14:textId="71AEADC1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441</w:t>
            </w:r>
          </w:p>
        </w:tc>
        <w:tc>
          <w:tcPr>
            <w:tcW w:w="2380" w:type="dxa"/>
            <w:shd w:val="clear" w:color="auto" w:fill="auto"/>
          </w:tcPr>
          <w:p w14:paraId="3A2B8DF9" w14:textId="209ADE0E" w:rsidR="00E50EDF" w:rsidRPr="00E50EDF" w:rsidRDefault="00E50EDF" w:rsidP="008365B3">
            <w:pPr>
              <w:pStyle w:val="TableText"/>
              <w:spacing w:before="120" w:line="360" w:lineRule="auto"/>
              <w:rPr>
                <w:rFonts w:cs="Tahoma"/>
              </w:rPr>
            </w:pPr>
            <w:bookmarkStart w:id="3" w:name="_Toc15477821"/>
            <w:r w:rsidRPr="00E50EDF">
              <w:rPr>
                <w:rFonts w:cs="Tahoma"/>
                <w:color w:val="000000" w:themeColor="text1"/>
              </w:rPr>
              <w:t>Net Stable Funding Ratio Item</w:t>
            </w:r>
            <w:bookmarkEnd w:id="3"/>
          </w:p>
        </w:tc>
        <w:tc>
          <w:tcPr>
            <w:tcW w:w="1896" w:type="dxa"/>
          </w:tcPr>
          <w:p w14:paraId="33F24D7E" w14:textId="7D799FD3" w:rsidR="00E50EDF" w:rsidRPr="00E50EDF" w:rsidRDefault="00E50EDF" w:rsidP="008365B3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cs/>
                <w:lang w:bidi="th-TH"/>
              </w:rPr>
            </w:pPr>
            <w:r w:rsidRPr="00E50EDF">
              <w:rPr>
                <w:rFonts w:cs="Tahoma"/>
                <w:rtl/>
                <w:cs/>
              </w:rPr>
              <w:t>477083</w:t>
            </w:r>
          </w:p>
        </w:tc>
        <w:tc>
          <w:tcPr>
            <w:tcW w:w="7824" w:type="dxa"/>
          </w:tcPr>
          <w:p w14:paraId="1685A10F" w14:textId="77777777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1F8076F8" w14:textId="77777777" w:rsidR="00E50EDF" w:rsidRPr="00E50EDF" w:rsidRDefault="00E50EDF" w:rsidP="0094505C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E50EDF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0671EE0" w14:textId="261D0022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from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“สินเชื่อที่มีคุณภาพ (</w:t>
            </w:r>
            <w:r w:rsidRPr="00E50EDF">
              <w:rPr>
                <w:rFonts w:ascii="Tahoma" w:hAnsi="Tahoma" w:cs="Tahoma"/>
                <w:sz w:val="20"/>
                <w:szCs w:val="20"/>
              </w:rPr>
              <w:t xml:space="preserve">Performing loans) 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>หรือเทียบเท่า ตามประกาศธนาคารแห่งประเทศว่าด้วยหลักเกณฑ์การจัดชั้นและการกันเงินสำรองของสถาบันการเงินที่ให้แก่คู่สัญญาประเภทต่าง ๆ</w:t>
            </w:r>
            <w:r w:rsidRPr="00E50EDF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2F18309F" w14:textId="77777777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7193B1EA" w14:textId="66E027D2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to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สินเชื่อที่มีคุณภาพ (จัดชั้นเป็นสินทรัพย์และภาระผูกพันทางการเงินที่ไม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</w:rPr>
              <w:t xml:space="preserve">performing)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และสินทรัพย์และภาระผูกพันทางการเงินที่มีการเพิ่มขึ้นอย่างมีนัยสำคัญของความเสี่ยงด้านเครดิต (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</w:rPr>
              <w:t>under-performing))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หรือเทียบเท่า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lastRenderedPageBreak/>
              <w:t>ตามประกาศธนาคารแห่งประเทศว่าด้วยหลักเกณฑ์การจัดชั้นและการกันเงินสำรองของสถาบันการเงินที่ให้แก่คู่สัญญาประเภทต่าง ๆ</w:t>
            </w:r>
            <w:r w:rsidRPr="00E50EDF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E50EDF" w:rsidRPr="00E50EDF" w14:paraId="49B525F5" w14:textId="77777777" w:rsidTr="006B60CB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093DD2F" w14:textId="77777777" w:rsidR="00E50EDF" w:rsidRPr="00E50EDF" w:rsidRDefault="00E50EDF" w:rsidP="00836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399454A" w14:textId="71CBCF55" w:rsidR="00E50EDF" w:rsidRPr="00E50EDF" w:rsidRDefault="00E50EDF" w:rsidP="00EE251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461</w:t>
            </w:r>
          </w:p>
        </w:tc>
        <w:tc>
          <w:tcPr>
            <w:tcW w:w="2380" w:type="dxa"/>
            <w:shd w:val="clear" w:color="auto" w:fill="auto"/>
          </w:tcPr>
          <w:p w14:paraId="5A041367" w14:textId="6106D389" w:rsidR="00E50EDF" w:rsidRPr="00E50EDF" w:rsidRDefault="00E50EDF" w:rsidP="008365B3">
            <w:pPr>
              <w:pStyle w:val="TableText"/>
              <w:spacing w:before="120" w:line="360" w:lineRule="auto"/>
              <w:rPr>
                <w:rFonts w:cs="Tahoma"/>
              </w:rPr>
            </w:pPr>
            <w:r w:rsidRPr="00E50EDF"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14:paraId="6969496E" w14:textId="3BCB5596" w:rsidR="00E50EDF" w:rsidRPr="00E50EDF" w:rsidRDefault="00E50EDF" w:rsidP="008365B3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rtl/>
                <w:cs/>
              </w:rPr>
            </w:pPr>
            <w:r w:rsidRPr="00E50EDF">
              <w:rPr>
                <w:rFonts w:cs="Tahoma"/>
              </w:rPr>
              <w:t>477176</w:t>
            </w:r>
          </w:p>
        </w:tc>
        <w:tc>
          <w:tcPr>
            <w:tcW w:w="7824" w:type="dxa"/>
          </w:tcPr>
          <w:p w14:paraId="02E7DDA9" w14:textId="77777777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142F4DC6" w14:textId="77777777" w:rsidR="00E50EDF" w:rsidRPr="00E50EDF" w:rsidRDefault="00E50EDF" w:rsidP="0094505C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E50EDF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5C7734E" w14:textId="41F12770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from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“สินเชื่อที่ไม่ก่อให้เกิดรายได้ (จัดชั้นสูญ สงสัยจะสูญ สงสัย และต่ำกว่ามาตรฐาน หรือเทียบเท่า ตามประกาศธนาคารแห่งประเทศไทยว่าด้วยหลักเกณฑ์การจัดชั้นและการกันเงินสำรองของสถาบันการเงิน) กับทุกคู่สัญญา</w:t>
            </w:r>
            <w:r w:rsidRPr="00E50EDF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76483B1" w14:textId="77777777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732FA33" w14:textId="02B56A6D" w:rsidR="00E50EDF" w:rsidRPr="00E50EDF" w:rsidRDefault="00E50EDF" w:rsidP="0094505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to</w:t>
            </w:r>
            <w:r w:rsidRPr="00E50EDF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สินเชื่อที่ไม่ก่อให้เกิดรายได้ (จัดชั้นเป็นสินทรัพย์และภาระผูกพันทางการเงินที่มีการด้อยค่าด้านเครดิต (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</w:rPr>
              <w:t xml:space="preserve">non-performing)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และสินทรัพย์ทางการเงินและภาระผูกพันทางการเงินที่มีการด้อยค่าด้านเครดิตเมื่อซื้อหรือเมื่อเกิดร</w:t>
            </w:r>
            <w:bookmarkStart w:id="4" w:name="_GoBack"/>
            <w:bookmarkEnd w:id="4"/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ายการ (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</w:rPr>
              <w:t xml:space="preserve">purchased or originated credit-impaired) </w:t>
            </w:r>
            <w:r w:rsidRPr="00E50EDF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หรือเทียบเท่า ตามประกาศธนาคารแห่งประเทศไทยว่าด้วยหลักเกณฑ์การจัดชั้นและการกันเงินสำรองของสถาบันการเงิน) กับทุกคู่สัญญา</w:t>
            </w:r>
            <w:r w:rsidRPr="00E50EDF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</w:tbl>
    <w:p w14:paraId="11784795" w14:textId="77777777" w:rsidR="00454EA0" w:rsidRPr="00E50EDF" w:rsidRDefault="00454EA0" w:rsidP="006B60CB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E50ED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66B0E" w14:textId="77777777" w:rsidR="00737032" w:rsidRDefault="00737032">
      <w:r>
        <w:separator/>
      </w:r>
    </w:p>
  </w:endnote>
  <w:endnote w:type="continuationSeparator" w:id="0">
    <w:p w14:paraId="56898337" w14:textId="77777777" w:rsidR="00737032" w:rsidRDefault="0073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0A3E0801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AD5205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AD5205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>ent : Summary of Changes V. 19.</w:t>
    </w:r>
    <w:r w:rsidR="008365B3">
      <w:rPr>
        <w:rFonts w:ascii="Tahoma" w:hAnsi="Tahoma" w:cs="Tahoma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DA8AE" w14:textId="77777777" w:rsidR="00737032" w:rsidRDefault="00737032">
      <w:r>
        <w:separator/>
      </w:r>
    </w:p>
  </w:footnote>
  <w:footnote w:type="continuationSeparator" w:id="0">
    <w:p w14:paraId="3FB7641B" w14:textId="77777777" w:rsidR="00737032" w:rsidRDefault="00737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25EB9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17246"/>
    <w:rsid w:val="00420864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5B21"/>
    <w:rsid w:val="00727AEB"/>
    <w:rsid w:val="00733208"/>
    <w:rsid w:val="00737032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1B7C"/>
    <w:rsid w:val="007A705D"/>
    <w:rsid w:val="007A75EE"/>
    <w:rsid w:val="007B4145"/>
    <w:rsid w:val="007B50D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149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365B3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322E"/>
    <w:rsid w:val="00A46451"/>
    <w:rsid w:val="00A46CC8"/>
    <w:rsid w:val="00A51F9C"/>
    <w:rsid w:val="00A52E67"/>
    <w:rsid w:val="00A540F1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3396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6D9E"/>
    <w:rsid w:val="00C8111E"/>
    <w:rsid w:val="00C832B3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60525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47B2E872-E5D2-4F61-8E30-CE225996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19</cp:revision>
  <cp:lastPrinted>2015-07-09T08:35:00Z</cp:lastPrinted>
  <dcterms:created xsi:type="dcterms:W3CDTF">2019-10-03T04:10:00Z</dcterms:created>
  <dcterms:modified xsi:type="dcterms:W3CDTF">2019-12-26T04:34:00Z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