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  <w:cs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3A01C130" w:rsidR="002D0364" w:rsidRPr="00681DC2" w:rsidRDefault="009D0ADE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DRD </w:t>
      </w:r>
      <w:r w:rsidR="002F4332"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378EB155" w14:textId="726C9FE8" w:rsidR="0035030B" w:rsidRPr="00C8364A" w:rsidRDefault="00DF0F88" w:rsidP="002D0364">
      <w:pPr>
        <w:pStyle w:val="Title"/>
        <w:spacing w:after="0"/>
        <w:rPr>
          <w:rFonts w:cs="Tahoma"/>
          <w:sz w:val="56"/>
          <w:szCs w:val="56"/>
        </w:rPr>
      </w:pPr>
      <w:r w:rsidRPr="00C8364A">
        <w:rPr>
          <w:rFonts w:cs="Tahoma"/>
          <w:sz w:val="56"/>
          <w:szCs w:val="56"/>
          <w:cs/>
          <w:lang w:bidi="th-TH"/>
        </w:rPr>
        <w:t>ข้อมูล</w:t>
      </w:r>
      <w:r w:rsidR="00167A72" w:rsidRPr="00C8364A">
        <w:rPr>
          <w:rFonts w:cs="Tahoma"/>
          <w:sz w:val="56"/>
          <w:szCs w:val="56"/>
          <w:cs/>
          <w:lang w:bidi="th-TH"/>
        </w:rPr>
        <w:t>การปรับ</w:t>
      </w:r>
      <w:r w:rsidR="00167A72" w:rsidRPr="00C8364A">
        <w:rPr>
          <w:rFonts w:cs="Tahoma" w:hint="cs"/>
          <w:sz w:val="56"/>
          <w:szCs w:val="56"/>
          <w:cs/>
          <w:lang w:bidi="th-TH"/>
        </w:rPr>
        <w:t>ปรุง</w:t>
      </w:r>
      <w:r w:rsidR="00167A72" w:rsidRPr="00C8364A">
        <w:rPr>
          <w:rFonts w:cs="Tahoma"/>
          <w:sz w:val="56"/>
          <w:szCs w:val="56"/>
          <w:cs/>
          <w:lang w:bidi="th-TH"/>
        </w:rPr>
        <w:t>โครงสร้างหนี้</w:t>
      </w:r>
      <w:r w:rsidR="0035030B" w:rsidRPr="00C8364A">
        <w:rPr>
          <w:rFonts w:cs="Tahoma"/>
          <w:sz w:val="56"/>
          <w:szCs w:val="56"/>
          <w:cs/>
          <w:lang w:bidi="th-TH"/>
        </w:rPr>
        <w:t xml:space="preserve"> </w:t>
      </w:r>
      <w:bookmarkStart w:id="0" w:name="_GoBack"/>
      <w:bookmarkEnd w:id="0"/>
    </w:p>
    <w:p w14:paraId="0E0B0F9A" w14:textId="467ADC92" w:rsidR="002F4332" w:rsidRPr="00C8364A" w:rsidRDefault="0035030B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C8364A">
        <w:rPr>
          <w:rFonts w:cs="Tahoma"/>
          <w:sz w:val="56"/>
          <w:szCs w:val="56"/>
          <w:cs/>
          <w:lang w:bidi="th-TH"/>
        </w:rPr>
        <w:t>และ</w:t>
      </w:r>
      <w:r w:rsidR="00167A72" w:rsidRPr="00C8364A">
        <w:rPr>
          <w:rFonts w:cs="Tahoma"/>
          <w:sz w:val="56"/>
          <w:szCs w:val="56"/>
          <w:cs/>
          <w:lang w:bidi="th-TH"/>
        </w:rPr>
        <w:t>การให้ความช่วยเหลือลูกหนี้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765"/>
        <w:gridCol w:w="1710"/>
        <w:gridCol w:w="8640"/>
        <w:gridCol w:w="1049"/>
      </w:tblGrid>
      <w:tr w:rsidR="00796023" w:rsidRPr="00681DC2" w14:paraId="3624A908" w14:textId="77777777" w:rsidTr="002B159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76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2B1596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39B0B5A9" w:rsidR="00796023" w:rsidRPr="00681DC2" w:rsidRDefault="00A25BBE" w:rsidP="00ED104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518C6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ED1049">
              <w:rPr>
                <w:rFonts w:cs="Tahoma"/>
                <w:i w:val="0"/>
                <w:iCs w:val="0"/>
                <w:color w:val="000000" w:themeColor="text1"/>
              </w:rPr>
              <w:t>3</w:t>
            </w:r>
            <w:r w:rsidR="00796023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July</w:t>
            </w:r>
            <w:r w:rsidR="009F2B1F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0D2C03D0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C577D2"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7777777" w:rsidR="00796023" w:rsidRPr="00681DC2" w:rsidRDefault="00796023" w:rsidP="00DC2E3A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2B1596" w:rsidRPr="00681DC2" w14:paraId="7AC15180" w14:textId="77777777" w:rsidTr="00D112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A4DD7" w14:textId="4AE9F3E5" w:rsidR="002B1596" w:rsidRPr="00681DC2" w:rsidRDefault="002B1596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1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8EBEC" w14:textId="2524330C" w:rsidR="002B1596" w:rsidRPr="004518C6" w:rsidRDefault="005F35DF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27 </w:t>
            </w:r>
            <w:r w:rsidR="002B1596" w:rsidRPr="005F35DF">
              <w:rPr>
                <w:rFonts w:cs="Tahoma"/>
                <w:i w:val="0"/>
                <w:iCs w:val="0"/>
                <w:color w:val="000000" w:themeColor="text1"/>
              </w:rPr>
              <w:t>November 2020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FAD21" w14:textId="3E5CB143" w:rsidR="002B1596" w:rsidRPr="00681DC2" w:rsidRDefault="002B1596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4A45" w14:textId="535B97F6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1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07CDEC9F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 xml:space="preserve">1 are in </w:t>
            </w:r>
            <w:r w:rsidRPr="00681DC2">
              <w:rPr>
                <w:rFonts w:cs="Tahoma"/>
                <w:color w:val="0000FF"/>
              </w:rPr>
              <w:t>blue font</w:t>
            </w:r>
            <w:r w:rsidRPr="00681DC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1FB420B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35319026" w14:textId="59757DEF" w:rsidR="002B1596" w:rsidRPr="00681DC2" w:rsidRDefault="002B1596" w:rsidP="000F42D6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rtl/>
                <w:cs/>
                <w:lang w:bidi="th-TH"/>
              </w:rPr>
              <w:t>.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="005F35DF"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="005F35DF">
              <w:rPr>
                <w:rFonts w:cs="Tahoma" w:hint="cs"/>
                <w:cs/>
                <w:lang w:bidi="th-TH"/>
              </w:rPr>
              <w:t xml:space="preserve"> </w:t>
            </w:r>
            <w:r w:rsidR="005F35DF">
              <w:rPr>
                <w:rFonts w:cs="Tahoma"/>
                <w:lang w:bidi="th-TH"/>
              </w:rPr>
              <w:t xml:space="preserve">and </w:t>
            </w:r>
            <w:r w:rsidR="005F35DF">
              <w:rPr>
                <w:cs/>
                <w:lang w:bidi="th-TH"/>
              </w:rPr>
              <w:t>“</w:t>
            </w:r>
            <w:r w:rsidR="005F35DF">
              <w:t>DMS Classification version 19</w:t>
            </w:r>
            <w:r w:rsidR="005F35DF">
              <w:rPr>
                <w:cs/>
                <w:lang w:bidi="th-TH"/>
              </w:rPr>
              <w:t>.</w:t>
            </w:r>
            <w:r w:rsidR="005F35DF">
              <w:t>7</w:t>
            </w:r>
            <w:r w:rsidR="005F35DF"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73CE62" w14:textId="3B6EAD54" w:rsidR="002B1596" w:rsidRPr="00681DC2" w:rsidRDefault="002B1596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1129B" w:rsidRPr="00681DC2" w14:paraId="10D2B41B" w14:textId="77777777" w:rsidTr="0082390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02BB2" w14:textId="7F06D4A7" w:rsidR="00D1129B" w:rsidRDefault="00D1129B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2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930E5" w14:textId="34A2B3F4" w:rsidR="00D1129B" w:rsidRPr="002D7F09" w:rsidRDefault="00E30F93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2D7F09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11 February 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583E1" w14:textId="680C47DE" w:rsidR="00D1129B" w:rsidRPr="002D7F09" w:rsidRDefault="00E30F9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2D7F09">
              <w:rPr>
                <w:rFonts w:cs="Tahoma"/>
                <w:color w:val="000000" w:themeColor="text1"/>
                <w:lang w:bidi="th-TH"/>
              </w:rPr>
              <w:t xml:space="preserve">1 </w:t>
            </w:r>
            <w:r w:rsidR="00301A14">
              <w:rPr>
                <w:rFonts w:cs="Tahoma"/>
                <w:color w:val="000000" w:themeColor="text1"/>
                <w:lang w:bidi="th-TH"/>
              </w:rPr>
              <w:t>January</w:t>
            </w:r>
            <w:r w:rsidR="002D7F09" w:rsidRPr="002D7F09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FD409" w14:textId="7713BF9A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1BC61A44" w14:textId="32F89FDA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</w:rPr>
              <w:t xml:space="preserve">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are in </w:t>
            </w:r>
            <w:r w:rsidRPr="00D1129B">
              <w:rPr>
                <w:rFonts w:cs="Tahoma"/>
                <w:color w:val="FF0000"/>
              </w:rPr>
              <w:t>red font</w:t>
            </w:r>
            <w:r w:rsidRPr="00D1129B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19EA50A3" w14:textId="77777777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6C111B8A" w14:textId="6EE99718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 xml:space="preserve">and </w:t>
            </w:r>
            <w:r>
              <w:rPr>
                <w:cs/>
                <w:lang w:bidi="th-TH"/>
              </w:rPr>
              <w:t>“</w:t>
            </w:r>
            <w:r>
              <w:t>DMS Classification version 19</w:t>
            </w:r>
            <w:r>
              <w:rPr>
                <w:cs/>
                <w:lang w:bidi="th-TH"/>
              </w:rPr>
              <w:t>.</w:t>
            </w:r>
            <w:r>
              <w:t>7</w:t>
            </w:r>
            <w:r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5A5DF0" w14:textId="02699116" w:rsidR="00D1129B" w:rsidRDefault="00D1129B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23902" w:rsidRPr="00681DC2" w14:paraId="3DBF1C49" w14:textId="77777777" w:rsidTr="002B159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62BB3BB" w14:textId="0A01C7B1" w:rsidR="00823902" w:rsidRDefault="00823902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3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59AFA41" w14:textId="43AFE7AB" w:rsidR="00823902" w:rsidRPr="002D7F09" w:rsidRDefault="00A31562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29</w:t>
            </w:r>
            <w:r w:rsidR="00823902" w:rsidRPr="00823902">
              <w:rPr>
                <w:rFonts w:cs="Tahoma"/>
                <w:i w:val="0"/>
                <w:iCs w:val="0"/>
                <w:lang w:bidi="th-TH"/>
              </w:rPr>
              <w:t xml:space="preserve"> June 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57F69FB" w14:textId="4BEA112E" w:rsidR="00823902" w:rsidRPr="002D7F09" w:rsidRDefault="00823902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2D7F09">
              <w:rPr>
                <w:rFonts w:cs="Tahoma"/>
                <w:color w:val="000000" w:themeColor="text1"/>
                <w:lang w:bidi="th-TH"/>
              </w:rPr>
              <w:t xml:space="preserve">1 </w:t>
            </w:r>
            <w:r>
              <w:rPr>
                <w:rFonts w:cs="Tahoma"/>
                <w:color w:val="000000" w:themeColor="text1"/>
                <w:lang w:bidi="th-TH"/>
              </w:rPr>
              <w:t>July</w:t>
            </w:r>
            <w:r w:rsidRPr="002D7F09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EFF289F" w14:textId="6E6B1963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</w:rPr>
              <w:t xml:space="preserve">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5DC63EAA" w14:textId="3B62A521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lastRenderedPageBreak/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</w:rPr>
              <w:t xml:space="preserve"> are in </w:t>
            </w:r>
            <w:r w:rsidRPr="00823902">
              <w:rPr>
                <w:rFonts w:cs="Tahoma"/>
                <w:color w:val="00B050"/>
              </w:rPr>
              <w:t>green font</w:t>
            </w:r>
            <w:r w:rsidRPr="00823902">
              <w:rPr>
                <w:rFonts w:cs="Tahoma"/>
                <w:color w:val="00B050"/>
                <w:cs/>
                <w:lang w:bidi="th-TH"/>
              </w:rPr>
              <w:t>.</w:t>
            </w:r>
          </w:p>
          <w:p w14:paraId="195EF6F9" w14:textId="77777777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541177E8" w14:textId="0DB7393E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 xml:space="preserve">and </w:t>
            </w:r>
            <w:r>
              <w:rPr>
                <w:cs/>
                <w:lang w:bidi="th-TH"/>
              </w:rPr>
              <w:t>“</w:t>
            </w:r>
            <w:r w:rsidR="003F05D0">
              <w:t>DMS Classification version 20</w:t>
            </w:r>
            <w:r w:rsidR="003F05D0">
              <w:rPr>
                <w:rFonts w:cs="Tahoma"/>
                <w:cs/>
                <w:lang w:bidi="th-TH"/>
              </w:rPr>
              <w:t>.</w:t>
            </w:r>
            <w:r w:rsidR="00F56AA8">
              <w:rPr>
                <w:lang w:bidi="th-TH"/>
              </w:rPr>
              <w:t>0</w:t>
            </w:r>
            <w:r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D31E230" w14:textId="241D7363" w:rsidR="00823902" w:rsidRDefault="00823902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</w:tbl>
    <w:p w14:paraId="753B0A5F" w14:textId="5CA583D1" w:rsidR="00796023" w:rsidRDefault="00796023" w:rsidP="00AC7355">
      <w:pPr>
        <w:rPr>
          <w:rFonts w:ascii="Tahoma" w:hAnsi="Tahoma" w:cs="Tahoma"/>
          <w:b/>
          <w:bCs/>
        </w:rPr>
      </w:pPr>
    </w:p>
    <w:p w14:paraId="54BEC4DD" w14:textId="6DCBEB99" w:rsidR="00823902" w:rsidRDefault="00823902" w:rsidP="00AC7355">
      <w:pPr>
        <w:rPr>
          <w:rFonts w:ascii="Tahoma" w:hAnsi="Tahoma" w:cs="Tahoma"/>
          <w:b/>
          <w:bCs/>
        </w:rPr>
      </w:pPr>
    </w:p>
    <w:p w14:paraId="431A4777" w14:textId="31181672" w:rsidR="00823902" w:rsidRDefault="00823902" w:rsidP="00AC7355">
      <w:pPr>
        <w:rPr>
          <w:rFonts w:ascii="Tahoma" w:hAnsi="Tahoma" w:cs="Tahoma"/>
          <w:b/>
          <w:bCs/>
        </w:rPr>
      </w:pPr>
    </w:p>
    <w:p w14:paraId="0421D535" w14:textId="12DB1B26" w:rsidR="00823902" w:rsidRDefault="00823902" w:rsidP="00AC7355">
      <w:pPr>
        <w:rPr>
          <w:rFonts w:ascii="Tahoma" w:hAnsi="Tahoma" w:cs="Tahoma"/>
          <w:b/>
          <w:bCs/>
        </w:rPr>
      </w:pPr>
    </w:p>
    <w:p w14:paraId="7AAD3ADF" w14:textId="46F97EB8" w:rsidR="00823902" w:rsidRDefault="00823902" w:rsidP="00AC7355">
      <w:pPr>
        <w:rPr>
          <w:rFonts w:ascii="Tahoma" w:hAnsi="Tahoma" w:cs="Tahoma"/>
          <w:b/>
          <w:bCs/>
        </w:rPr>
      </w:pPr>
    </w:p>
    <w:p w14:paraId="6C7F2472" w14:textId="2E8903E8" w:rsidR="00823902" w:rsidRDefault="00823902" w:rsidP="00AC7355">
      <w:pPr>
        <w:rPr>
          <w:rFonts w:ascii="Tahoma" w:hAnsi="Tahoma" w:cs="Tahoma"/>
          <w:b/>
          <w:bCs/>
        </w:rPr>
      </w:pPr>
    </w:p>
    <w:p w14:paraId="5967B0EC" w14:textId="78F07A71" w:rsidR="00823902" w:rsidRDefault="00823902" w:rsidP="00AC7355">
      <w:pPr>
        <w:rPr>
          <w:rFonts w:ascii="Tahoma" w:hAnsi="Tahoma" w:cs="Tahoma"/>
          <w:b/>
          <w:bCs/>
        </w:rPr>
      </w:pPr>
    </w:p>
    <w:p w14:paraId="3C963B09" w14:textId="5C077507" w:rsidR="00823902" w:rsidRDefault="00823902" w:rsidP="00AC7355">
      <w:pPr>
        <w:rPr>
          <w:rFonts w:ascii="Tahoma" w:hAnsi="Tahoma" w:cs="Tahoma"/>
          <w:b/>
          <w:bCs/>
        </w:rPr>
      </w:pPr>
    </w:p>
    <w:p w14:paraId="25217D43" w14:textId="2CCF4A53" w:rsidR="00823902" w:rsidRDefault="00823902" w:rsidP="00AC7355">
      <w:pPr>
        <w:rPr>
          <w:rFonts w:ascii="Tahoma" w:hAnsi="Tahoma" w:cs="Tahoma"/>
          <w:b/>
          <w:bCs/>
        </w:rPr>
      </w:pPr>
    </w:p>
    <w:p w14:paraId="27631D75" w14:textId="2C83DB01" w:rsidR="00823902" w:rsidRDefault="00823902" w:rsidP="00AC7355">
      <w:pPr>
        <w:rPr>
          <w:rFonts w:ascii="Tahoma" w:hAnsi="Tahoma" w:cs="Tahoma"/>
          <w:b/>
          <w:bCs/>
        </w:rPr>
      </w:pPr>
    </w:p>
    <w:p w14:paraId="59757893" w14:textId="77777777" w:rsidR="00823902" w:rsidRPr="00681DC2" w:rsidRDefault="00823902" w:rsidP="00AC7355">
      <w:pPr>
        <w:rPr>
          <w:rFonts w:ascii="Tahoma" w:hAnsi="Tahoma" w:cs="Tahoma"/>
          <w:b/>
          <w:bCs/>
        </w:rPr>
      </w:pPr>
    </w:p>
    <w:p w14:paraId="17881BDB" w14:textId="3324E8BE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14:paraId="0FF53036" w14:textId="7C1A49A4" w:rsidR="00AE6AD6" w:rsidRPr="00681DC2" w:rsidRDefault="00AE6AD6" w:rsidP="00AE6AD6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lastRenderedPageBreak/>
        <w:t>Table of Contents</w:t>
      </w:r>
      <w:r w:rsidRPr="00681DC2">
        <w:rPr>
          <w:rFonts w:cs="Tahoma"/>
          <w:sz w:val="20"/>
          <w:szCs w:val="20"/>
        </w:rPr>
        <w:tab/>
      </w:r>
    </w:p>
    <w:p w14:paraId="0307C9D2" w14:textId="7A265D68" w:rsidR="00274DCE" w:rsidRDefault="00E44E1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7A51B8">
        <w:rPr>
          <w:b w:val="0"/>
          <w:bCs w:val="0"/>
          <w:i/>
          <w:iCs/>
        </w:rPr>
        <w:fldChar w:fldCharType="begin"/>
      </w:r>
      <w:r w:rsidRPr="007A51B8">
        <w:rPr>
          <w:b w:val="0"/>
          <w:bCs w:val="0"/>
          <w:i/>
          <w:iCs/>
        </w:rPr>
        <w:instrText xml:space="preserve"> TOC \o </w:instrText>
      </w:r>
      <w:r w:rsidRPr="007A51B8">
        <w:rPr>
          <w:b w:val="0"/>
          <w:bCs w:val="0"/>
          <w:i/>
          <w:iCs/>
          <w:cs/>
        </w:rPr>
        <w:instrText>"</w:instrText>
      </w:r>
      <w:r w:rsidRPr="007A51B8">
        <w:rPr>
          <w:b w:val="0"/>
          <w:bCs w:val="0"/>
          <w:i/>
          <w:iCs/>
        </w:rPr>
        <w:instrText>1</w:instrText>
      </w:r>
      <w:r w:rsidRPr="007A51B8">
        <w:rPr>
          <w:b w:val="0"/>
          <w:bCs w:val="0"/>
          <w:i/>
          <w:iCs/>
          <w:cs/>
        </w:rPr>
        <w:instrText>-</w:instrText>
      </w:r>
      <w:r w:rsidRPr="007A51B8">
        <w:rPr>
          <w:b w:val="0"/>
          <w:bCs w:val="0"/>
          <w:i/>
          <w:iCs/>
        </w:rPr>
        <w:instrText>3</w:instrText>
      </w:r>
      <w:r w:rsidRPr="007A51B8">
        <w:rPr>
          <w:b w:val="0"/>
          <w:bCs w:val="0"/>
          <w:i/>
          <w:iCs/>
          <w:cs/>
        </w:rPr>
        <w:instrText xml:space="preserve">" </w:instrText>
      </w:r>
      <w:r w:rsidRPr="007A51B8">
        <w:rPr>
          <w:b w:val="0"/>
          <w:bCs w:val="0"/>
          <w:i/>
          <w:iCs/>
        </w:rPr>
        <w:instrText xml:space="preserve">\h \z \u </w:instrText>
      </w:r>
      <w:r w:rsidRPr="007A51B8">
        <w:rPr>
          <w:b w:val="0"/>
          <w:bCs w:val="0"/>
          <w:i/>
          <w:iCs/>
        </w:rPr>
        <w:fldChar w:fldCharType="separate"/>
      </w:r>
      <w:hyperlink w:anchor="_Toc45974097" w:history="1">
        <w:r w:rsidR="00274DCE" w:rsidRPr="00F11430">
          <w:rPr>
            <w:rStyle w:val="Hyperlink"/>
          </w:rPr>
          <w:t>1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Document Overview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_Toc45974097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856FAF">
          <w:rPr>
            <w:webHidden/>
          </w:rPr>
          <w:t>5</w:t>
        </w:r>
        <w:r w:rsidR="00274DCE">
          <w:rPr>
            <w:rStyle w:val="Hyperlink"/>
          </w:rPr>
          <w:fldChar w:fldCharType="end"/>
        </w:r>
      </w:hyperlink>
    </w:p>
    <w:p w14:paraId="5CD640F3" w14:textId="46FD478D" w:rsidR="00274DCE" w:rsidRDefault="00545ACC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8" w:history="1">
        <w:r w:rsidR="00274DCE" w:rsidRPr="00F11430">
          <w:rPr>
            <w:rStyle w:val="Hyperlink"/>
          </w:rPr>
          <w:t>2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Summary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_Toc45974098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856FAF">
          <w:rPr>
            <w:webHidden/>
          </w:rPr>
          <w:t>8</w:t>
        </w:r>
        <w:r w:rsidR="00274DCE">
          <w:rPr>
            <w:rStyle w:val="Hyperlink"/>
          </w:rPr>
          <w:fldChar w:fldCharType="end"/>
        </w:r>
      </w:hyperlink>
    </w:p>
    <w:p w14:paraId="228684F2" w14:textId="19E1A08B" w:rsidR="00274DCE" w:rsidRDefault="00545ACC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9" w:history="1">
        <w:r w:rsidR="00274DCE" w:rsidRPr="00F11430">
          <w:rPr>
            <w:rStyle w:val="Hyperlink"/>
          </w:rPr>
          <w:t>3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Details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_Toc45974099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856FAF">
          <w:rPr>
            <w:webHidden/>
          </w:rPr>
          <w:t>9</w:t>
        </w:r>
        <w:r w:rsidR="00274DCE">
          <w:rPr>
            <w:rStyle w:val="Hyperlink"/>
          </w:rPr>
          <w:fldChar w:fldCharType="end"/>
        </w:r>
      </w:hyperlink>
    </w:p>
    <w:p w14:paraId="1DA6FA27" w14:textId="52C15CE0" w:rsidR="00274DCE" w:rsidRPr="00320651" w:rsidRDefault="00545ACC" w:rsidP="00062517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45974100" w:history="1">
        <w:r w:rsidR="00274DCE" w:rsidRPr="00062517">
          <w:rPr>
            <w:rStyle w:val="Hyperlink"/>
            <w:b w:val="0"/>
            <w:bCs w:val="0"/>
            <w:color w:val="00B050"/>
          </w:rPr>
          <w:t>1</w:t>
        </w:r>
        <w:r w:rsidR="00274DCE" w:rsidRPr="00062517">
          <w:rPr>
            <w:rStyle w:val="Hyperlink"/>
            <w:b w:val="0"/>
            <w:bCs w:val="0"/>
            <w:color w:val="00B050"/>
            <w:cs/>
          </w:rPr>
          <w:t xml:space="preserve">. </w:t>
        </w:r>
        <w:r w:rsidR="00274DCE" w:rsidRPr="00062517">
          <w:rPr>
            <w:rStyle w:val="Hyperlink"/>
            <w:b w:val="0"/>
            <w:bCs w:val="0"/>
            <w:color w:val="00B050"/>
          </w:rPr>
          <w:t>Data Set</w:t>
        </w:r>
        <w:r w:rsidR="00274DCE" w:rsidRPr="00062517">
          <w:rPr>
            <w:rStyle w:val="Hyperlink"/>
            <w:b w:val="0"/>
            <w:bCs w:val="0"/>
            <w:color w:val="00B050"/>
            <w:cs/>
          </w:rPr>
          <w:t xml:space="preserve">: </w:t>
        </w:r>
        <w:r w:rsidR="00274DCE" w:rsidRPr="00062517">
          <w:rPr>
            <w:rStyle w:val="Hyperlink"/>
            <w:b w:val="0"/>
            <w:bCs w:val="0"/>
            <w:color w:val="00B050"/>
          </w:rPr>
          <w:t>Debt Restructuring</w:t>
        </w:r>
        <w:r w:rsidR="00274DCE" w:rsidRPr="00062517">
          <w:rPr>
            <w:rStyle w:val="Hyperlink"/>
            <w:b w:val="0"/>
            <w:bCs w:val="0"/>
            <w:color w:val="00B050"/>
            <w:cs/>
          </w:rPr>
          <w:t xml:space="preserve"> </w:t>
        </w:r>
        <w:r w:rsidR="00274DCE" w:rsidRPr="00062517">
          <w:rPr>
            <w:rStyle w:val="Hyperlink"/>
            <w:b w:val="0"/>
            <w:bCs w:val="0"/>
            <w:color w:val="00B050"/>
          </w:rPr>
          <w:t>Detail</w:t>
        </w:r>
        <w:r w:rsidR="00274DCE" w:rsidRPr="00062517">
          <w:rPr>
            <w:webHidden/>
          </w:rPr>
          <w:tab/>
        </w:r>
        <w:r w:rsidR="00274DCE" w:rsidRPr="00062517">
          <w:rPr>
            <w:rStyle w:val="Hyperlink"/>
            <w:color w:val="00B050"/>
          </w:rPr>
          <w:fldChar w:fldCharType="begin"/>
        </w:r>
        <w:r w:rsidR="00274DCE" w:rsidRPr="00062517">
          <w:rPr>
            <w:webHidden/>
          </w:rPr>
          <w:instrText xml:space="preserve"> PAGEREF _Toc45974100 \h </w:instrText>
        </w:r>
        <w:r w:rsidR="00274DCE" w:rsidRPr="00062517">
          <w:rPr>
            <w:rStyle w:val="Hyperlink"/>
            <w:color w:val="00B050"/>
          </w:rPr>
        </w:r>
        <w:r w:rsidR="00274DCE" w:rsidRPr="00062517">
          <w:rPr>
            <w:rStyle w:val="Hyperlink"/>
            <w:color w:val="00B050"/>
          </w:rPr>
          <w:fldChar w:fldCharType="separate"/>
        </w:r>
        <w:r w:rsidR="00856FAF">
          <w:rPr>
            <w:webHidden/>
          </w:rPr>
          <w:t>9</w:t>
        </w:r>
        <w:r w:rsidR="00274DCE" w:rsidRPr="00062517">
          <w:rPr>
            <w:rStyle w:val="Hyperlink"/>
            <w:color w:val="00B050"/>
          </w:rPr>
          <w:fldChar w:fldCharType="end"/>
        </w:r>
      </w:hyperlink>
    </w:p>
    <w:p w14:paraId="29D77386" w14:textId="2833F6F5" w:rsidR="00274DCE" w:rsidRDefault="00545ACC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101" w:history="1">
        <w:r w:rsidR="00274DCE" w:rsidRPr="00F11430">
          <w:rPr>
            <w:rStyle w:val="Hyperlink"/>
          </w:rPr>
          <w:t>4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Appendix A</w:t>
        </w:r>
        <w:r w:rsidR="00274DCE" w:rsidRPr="00F11430">
          <w:rPr>
            <w:rStyle w:val="Hyperlink"/>
            <w:cs/>
          </w:rPr>
          <w:t xml:space="preserve">.  </w:t>
        </w:r>
        <w:r w:rsidR="00274DCE" w:rsidRPr="00F11430">
          <w:rPr>
            <w:rStyle w:val="Hyperlink"/>
          </w:rPr>
          <w:t>Data Type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_Toc45974101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856FAF">
          <w:rPr>
            <w:webHidden/>
          </w:rPr>
          <w:t>15</w:t>
        </w:r>
        <w:r w:rsidR="00274DCE">
          <w:rPr>
            <w:rStyle w:val="Hyperlink"/>
          </w:rPr>
          <w:fldChar w:fldCharType="end"/>
        </w:r>
      </w:hyperlink>
    </w:p>
    <w:p w14:paraId="0D477FE4" w14:textId="59D1CE13" w:rsidR="004128B9" w:rsidRPr="007A51B8" w:rsidRDefault="00E44E10" w:rsidP="00AE6AD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51B8">
        <w:rPr>
          <w:rFonts w:ascii="Tahoma" w:eastAsia="Times New Roman" w:hAnsi="Tahoma" w:cs="Tahoma"/>
          <w:b/>
          <w:bCs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4597409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4597409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B40507" w:rsidRPr="00576182" w14:paraId="5A21E832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3BA238C7" w:rsidR="00B40507" w:rsidRPr="00C8364A" w:rsidRDefault="00C577D2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>Debt Restructuring</w:t>
            </w:r>
            <w:r w:rsidR="00167A72"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Detail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C577D2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C8364A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4149CEA3" w14:textId="65D1E297" w:rsidR="00B40507" w:rsidRPr="00C8364A" w:rsidRDefault="00C577D2" w:rsidP="00167A72">
            <w:pPr>
              <w:spacing w:after="24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Debt Restructuring 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 xml:space="preserve">Detail 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C8364A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การปรับ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ปรุง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โครงสร้างหนี้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35030B" w:rsidRPr="00C8364A">
              <w:rPr>
                <w:rFonts w:ascii="Tahoma" w:hAnsi="Tahoma" w:cs="Tahoma"/>
                <w:sz w:val="20"/>
                <w:szCs w:val="20"/>
                <w:cs/>
              </w:rPr>
              <w:t>การให้ความช่วยเหลือลูกหนี้</w:t>
            </w:r>
            <w:r w:rsidR="00DE5BF1" w:rsidRPr="00C8364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892B97" w14:textId="6997B532" w:rsidR="00B40507" w:rsidRPr="00C8364A" w:rsidRDefault="00C577D2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D0965" w:rsidRPr="00C8364A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45A1AAA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BDF1A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1DAB9" w14:textId="3D520CA2" w:rsidR="00B40507" w:rsidRPr="00C8364A" w:rsidRDefault="00B40507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6FD0F5DE" w14:textId="1707AB00" w:rsidR="00AC2649" w:rsidRPr="00C8364A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MARSNn_YYYYMMDD_DR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C577D2" w:rsidRPr="00C8364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255E7AD0" w:rsidR="00B40507" w:rsidRPr="00C8364A" w:rsidRDefault="00486D69" w:rsidP="00167A7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4597409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374EAB30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4" w:name="_Toc4597410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C2424" w:rsidRPr="00C8364A">
        <w:rPr>
          <w:rFonts w:ascii="Tahoma" w:hAnsi="Tahoma" w:cs="Tahoma"/>
          <w:color w:val="auto"/>
          <w:sz w:val="20"/>
          <w:szCs w:val="20"/>
        </w:rPr>
        <w:t>Debt Restructuring</w:t>
      </w:r>
      <w:r w:rsidR="00186AEA" w:rsidRPr="00C8364A">
        <w:rPr>
          <w:rFonts w:ascii="Tahoma" w:hAnsi="Tahoma" w:cs="Tahoma" w:hint="cs"/>
          <w:b/>
          <w:bCs/>
          <w:color w:val="auto"/>
          <w:sz w:val="20"/>
          <w:szCs w:val="20"/>
          <w:cs/>
        </w:rPr>
        <w:t xml:space="preserve"> </w:t>
      </w:r>
      <w:r w:rsidR="00186AEA" w:rsidRPr="00C8364A">
        <w:rPr>
          <w:rFonts w:ascii="Tahoma" w:hAnsi="Tahoma" w:cs="Tahoma"/>
          <w:color w:val="auto"/>
          <w:sz w:val="20"/>
          <w:szCs w:val="20"/>
        </w:rPr>
        <w:t>Detail</w:t>
      </w:r>
      <w:bookmarkEnd w:id="4"/>
    </w:p>
    <w:p w14:paraId="5EDF3312" w14:textId="3FEEA5DA" w:rsidR="004C2424" w:rsidRPr="00C8364A" w:rsidRDefault="004C2424" w:rsidP="00360B72">
      <w:pPr>
        <w:pStyle w:val="ListParagraph"/>
        <w:spacing w:after="240" w:line="440" w:lineRule="exact"/>
        <w:ind w:left="630"/>
        <w:rPr>
          <w:rFonts w:ascii="Tahoma" w:hAnsi="Tahoma" w:cs="Tahoma"/>
          <w:sz w:val="20"/>
          <w:szCs w:val="20"/>
          <w:cs/>
        </w:rPr>
      </w:pPr>
      <w:r w:rsidRPr="00C8364A">
        <w:rPr>
          <w:rFonts w:ascii="Tahoma" w:hAnsi="Tahoma" w:cs="Tahoma" w:hint="cs"/>
          <w:sz w:val="20"/>
          <w:szCs w:val="20"/>
          <w:cs/>
        </w:rPr>
        <w:t>ข้อมูล</w:t>
      </w:r>
      <w:r w:rsidR="00167A72" w:rsidRPr="00C8364A">
        <w:rPr>
          <w:rFonts w:ascii="Tahoma" w:hAnsi="Tahoma" w:cs="Tahoma"/>
          <w:sz w:val="20"/>
          <w:szCs w:val="20"/>
          <w:cs/>
        </w:rPr>
        <w:t>การปรับ</w:t>
      </w:r>
      <w:r w:rsidR="00167A72" w:rsidRPr="00C8364A">
        <w:rPr>
          <w:rFonts w:ascii="Tahoma" w:hAnsi="Tahoma" w:cs="Tahoma" w:hint="cs"/>
          <w:sz w:val="20"/>
          <w:szCs w:val="20"/>
          <w:cs/>
        </w:rPr>
        <w:t>ปรุง</w:t>
      </w:r>
      <w:r w:rsidR="00167A72" w:rsidRPr="00C8364A">
        <w:rPr>
          <w:rFonts w:ascii="Tahoma" w:hAnsi="Tahoma" w:cs="Tahoma"/>
          <w:sz w:val="20"/>
          <w:szCs w:val="20"/>
          <w:cs/>
        </w:rPr>
        <w:t>โครงสร้างหนี้</w:t>
      </w:r>
      <w:r w:rsidR="00167A72" w:rsidRPr="00C8364A">
        <w:rPr>
          <w:rFonts w:ascii="Tahoma" w:hAnsi="Tahoma" w:cs="Tahoma" w:hint="cs"/>
          <w:sz w:val="20"/>
          <w:szCs w:val="20"/>
          <w:cs/>
        </w:rPr>
        <w:t>และ</w:t>
      </w:r>
      <w:r w:rsidR="0035030B" w:rsidRPr="00C8364A">
        <w:rPr>
          <w:rFonts w:ascii="Tahoma" w:hAnsi="Tahoma" w:cs="Tahoma"/>
          <w:sz w:val="20"/>
          <w:szCs w:val="20"/>
          <w:cs/>
        </w:rPr>
        <w:t>การให้ความช่วยเหลือลูกหนี้</w:t>
      </w:r>
    </w:p>
    <w:p w14:paraId="26EEBEAA" w14:textId="33B72B0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7938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7938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4B2C0E9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A6D9E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2D40DA2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8635F3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5078C0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179726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6EA8EA7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11535A7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3EF1452B" w:rsidR="009B39DB" w:rsidRPr="009B39DB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D85E8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437DBCC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9B39DB" w:rsidRPr="00AB1A70" w14:paraId="763DE5A1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149ED54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53380BA3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1977F6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เลขที่สัญญาของสถาบันการเงิน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37E5751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321BDDE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349DE3A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59D74F33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3F9D12D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08EC78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4B3DB7A6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34064B98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C6E5289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068E3EBD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3806521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63D086B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9B39DB" w:rsidRPr="00AB1A70" w14:paraId="2DB8F7EC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7AAC0C85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180D07AC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7E897720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5C79E0D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AF030C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FA5AB7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4714B8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73CA3A63" w14:textId="77777777" w:rsidTr="007C01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1D716BB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7553B1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784F85A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ประเภทรหัสลูกหนี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F53C16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028EA97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20B83A9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00F6F0D4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161C28F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Unique Id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B39DB" w:rsidRPr="00AB1A70" w14:paraId="6241E85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2B48F55B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and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Contingent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Type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26D6329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2CE21515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ประเภทการจัดชั้น</w:t>
            </w:r>
            <w:r w:rsidRPr="00C8364A">
              <w:rPr>
                <w:rFonts w:ascii="Tahoma" w:hAnsi="Tahoma" w:cs="Tahoma"/>
                <w:sz w:val="20"/>
                <w:szCs w:val="20"/>
                <w:u w:val="single"/>
                <w:cs/>
              </w:rPr>
              <w:t>ก่อน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EC4949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7A728F9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321A774E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B0B3FA" w14:textId="0BB28B4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17074E9" w14:textId="408BE70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Asset and Contingent Classification Type</w:t>
            </w:r>
            <w:r w:rsidR="0098681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98681B" w:rsidRPr="0098681B">
              <w:rPr>
                <w:rFonts w:ascii="Tahoma" w:hAnsi="Tahoma" w:cs="Tahoma"/>
                <w:color w:val="0000FF"/>
                <w:sz w:val="20"/>
                <w:szCs w:val="20"/>
              </w:rPr>
              <w:t>V_DRD</w:t>
            </w:r>
            <w:r w:rsidRPr="0098681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E85561" w:rsidRPr="00AB1A70" w14:paraId="4C6A32F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4FBC883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2EAD78DF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304001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0260AF98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0F868DF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ลดต้นเงิน และ / หรือดอกเบี้ยค้างรับ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61836F62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57689010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56CE8A76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4166DDA8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8C0360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E85561" w:rsidRPr="00AB1A70" w14:paraId="451ACE2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1F469AF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002D4D5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304002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5408C56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63A43517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9278C2B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1750955E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BEE62C0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54CFA022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7E27F565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17ABD6B5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304003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85482AD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33AD61BC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1AFE02E2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6E4617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62CB573B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642987C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B51C750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3658A3BD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304004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29B505F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434300D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ขยายเวลาการชำระหนี้ (จากหนี้เดิมซึ่งเป็นหนี้ระยะยาวอยู่แล้ว)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060E4803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6A8F1297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02CBD32D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016EF2BF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53215E50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1941134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304005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5B671903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719B463A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68F14B11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792F73FF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607107F6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385DB1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7DE2752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2B58A9B0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708D520C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304006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1D377364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3082BBC5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ให้ระยะเวลาปลอดหนี้ (</w:t>
            </w:r>
            <w:r w:rsidRPr="005D2B6A">
              <w:rPr>
                <w:rFonts w:ascii="Tahoma" w:hAnsi="Tahoma" w:cs="Tahoma"/>
                <w:sz w:val="20"/>
                <w:szCs w:val="20"/>
              </w:rPr>
              <w:t>Grace Period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) เงินต้น และ / หรือดอกเบี้ย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3B6230AC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32A64E3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6B4B656C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15BD54BB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5D847E02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78918C98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304007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73527AFF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7D943A8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3A21B29C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0CDD8CF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61B46896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467ED725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73B94A3C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300ED0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26463E0F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02CB955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304008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3E458744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2D2B7341" w:rsidR="00E85561" w:rsidRPr="00C8364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สินทรัพย์ที่มิใช่สินทรัพย์ที่เป็นหลักประกันหนี้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5DF87A45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3904EA50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0B108A79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5F8B37B3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576A94BC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572CD04B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304009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0C6314A5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234861D7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2749E8E6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06BC132F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49D0A3E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8E70D3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2CD47899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541BD" w14:textId="515BC985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85561">
              <w:rPr>
                <w:rFonts w:ascii="Tahoma" w:hAnsi="Tahoma" w:cs="Tahoma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7C2E8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D108F" w14:textId="2A2A8BBF" w:rsidR="00E85561" w:rsidRPr="00D1129B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304010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0DBFF" w14:textId="6CBC4255" w:rsidR="00E85561" w:rsidRPr="00D1129B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549942" w14:textId="1816A044" w:rsidR="00E85561" w:rsidRPr="00D1129B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 xml:space="preserve">วิธีการปรับปรุงโครงสร้างหนี้และการให้ความช่วยเหลือลูกหนี้โดยวิธีการรวมหนี้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Debt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533B" w14:textId="3AB575D3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DBCED" w14:textId="5E7600E8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5964F" w14:textId="700DBBA4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40FBD" w14:textId="59E469FA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CCAF6" w14:textId="2AC28F23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F2F83D" w14:textId="77777777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42A10D5" w14:textId="77777777" w:rsidR="00E85561" w:rsidRPr="00D1129B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85561" w:rsidRPr="00AB1A70" w14:paraId="5CA146DA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E7611" w14:textId="6F60865B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3029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86166" w14:textId="1F0C0C9C" w:rsidR="00E85561" w:rsidRPr="00D1129B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</w:t>
            </w:r>
            <w:r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99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4AFE" w14:textId="0D49A627" w:rsidR="00E85561" w:rsidRPr="00D1129B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2A9F2" w14:textId="49A06842" w:rsidR="00E85561" w:rsidRPr="00D1129B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</w:t>
            </w:r>
            <w:r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E812E" w14:textId="4B79DAA7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9A80" w14:textId="1CC60A6B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A03B5" w14:textId="748A64DD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CFD1D" w14:textId="7C4C62C0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70A84" w14:textId="19755251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0B40A4" w14:textId="77777777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BBD9D9" w14:textId="77777777" w:rsidR="00E85561" w:rsidRPr="00D1129B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85561" w:rsidRPr="00AB1A70" w14:paraId="45F36650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C4790A" w14:textId="158561EC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44C87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8CFD" w14:textId="614B21F7" w:rsidR="00E85561" w:rsidRPr="00D1129B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Other Method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5BDB8" w14:textId="1A62D900" w:rsidR="00E85561" w:rsidRPr="00D1129B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6C26C5" w14:textId="6BF4B639" w:rsidR="00E85561" w:rsidRPr="00C8364A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รายละเอียดวิธีการปรับโครงสร้างหนี้ กรณี ระบุวิธีการปรับปรุงโครงสร้างหนี้และการให้ความช่วยเหลือลูกหนี้</w:t>
            </w:r>
            <w:r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80ED6" w14:textId="7FAB34C9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F538" w14:textId="6615089D" w:rsidR="00E85561" w:rsidRPr="00D1129B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53823" w14:textId="4FF86A24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78BE7" w14:textId="080CD1A1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FEFA0E" w14:textId="6ED2CC33" w:rsidR="00E85561" w:rsidRPr="00D1129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BBC76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09B862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512F47FF" w14:textId="77777777" w:rsidTr="00793871">
        <w:trPr>
          <w:trHeight w:val="75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5A396CDE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8556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40F9A9BA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DR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1AEE7CE2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641D9A16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>
              <w:rPr>
                <w:rFonts w:ascii="Tahoma" w:hAnsi="Tahoma" w:cs="Tahoma"/>
                <w:kern w:val="24"/>
                <w:sz w:val="20"/>
                <w:szCs w:val="20"/>
                <w:cs/>
              </w:rPr>
              <w:t>วันที่ปรับปรุงโครงสร้างหนี้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006A75F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2FF1C6DF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679EAE88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7C5E02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85561" w:rsidRPr="00AB1A70" w14:paraId="02CCBF6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24B00D5E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44F1139F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3AC04CBA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EDD12FC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03FCA66F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5A03BE8F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33FD4A90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18E1B9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FA2E3D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573D4F17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6A1893D1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6F8A8670" w:rsidR="00E85561" w:rsidRPr="00AB1A70" w:rsidRDefault="00E85561" w:rsidP="00E85561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1994C002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ดอกเบี้ย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ทั้งค้างรับตามบัญชี และค้างรับนอกบัญชี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11732E06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525AB5C3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FF1A976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185311E6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30F416FF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D4729A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5DBCAE95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5818C1" w14:textId="2D7D54E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A6021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6BEC8" w14:textId="30546210" w:rsidR="00E85561" w:rsidRPr="00AB1A70" w:rsidRDefault="00E85561" w:rsidP="00E85561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Other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1F4F8" w14:textId="515B8FFB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DAFA0AB" w14:textId="44EAF233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โครงสร้างหนี้อื่น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 xml:space="preserve">ๆ ที่ไม่ใช่เงินต้น หรือดอกเบี้ย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37A0B" w14:textId="0AB94DDC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5DBB21" w14:textId="7CFBE835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0D79A" w14:textId="34FEDAE6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BBF71A" w14:textId="1729FEA6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037736" w14:textId="1F22F441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01397F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077FBF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36DD666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7C41B71F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67D4CEC9" w:rsidR="00E85561" w:rsidRPr="00AB1A70" w:rsidRDefault="00E85561" w:rsidP="00E85561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AF6860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6FA65F20" w:rsidR="00E85561" w:rsidRPr="00C8364A" w:rsidRDefault="00E85561" w:rsidP="00E855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ยอดคงค้างเงินให้สินเชื่อ</w:t>
            </w:r>
            <w:r w:rsidRPr="005109D3">
              <w:rPr>
                <w:rFonts w:ascii="Tahoma" w:eastAsiaTheme="minorEastAsi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1ECB4D0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30208AE3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02CC9544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1B011D42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B51B19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417A99AB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AB53F" w14:textId="2B8E28D8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7F938" w14:textId="77777777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5082CB26" w:rsidR="00E85561" w:rsidRPr="00AB1A70" w:rsidRDefault="00E85561" w:rsidP="00E85561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Days past due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6EE7C49D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4B644D" w14:textId="5C71A9E3" w:rsidR="00E85561" w:rsidRPr="00AB1A70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จำนวนวันที่ค้างชำระนับจากวันที่ครบกำหนดชำระเงินจนถึงวันที่ปรับปรุงโครงสร้างหนี้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3AB27" w14:textId="1B2A0439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9AE18" w14:textId="729F30D0" w:rsidR="00E85561" w:rsidRPr="00AB1A70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87A9" w14:textId="5F211338" w:rsidR="00E85561" w:rsidRPr="007D7762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96066" w14:textId="3D04683C" w:rsidR="00E85561" w:rsidRPr="009B39DB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E23A" w14:textId="131FC32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BA9541" w14:textId="77777777" w:rsidR="00E85561" w:rsidRPr="00AB1A70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FC8B59" w14:textId="77777777" w:rsidR="00E85561" w:rsidRPr="00AB1A70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33896D35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7C32D" w14:textId="2CAE3145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E85561">
              <w:rPr>
                <w:rFonts w:ascii="Tahoma" w:hAnsi="Tahoma" w:cs="Tahoma"/>
                <w:color w:val="00B050"/>
                <w:sz w:val="20"/>
                <w:szCs w:val="2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7654D" w14:textId="77777777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5E72D" w14:textId="252819B5" w:rsidR="00E85561" w:rsidRPr="004466CF" w:rsidRDefault="00E85561" w:rsidP="00E85561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Portfolio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2AFFF" w14:textId="496F5C9D" w:rsidR="00E85561" w:rsidRPr="004466CF" w:rsidRDefault="00A73412" w:rsidP="00E85561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68CDA" w14:textId="47125A37" w:rsidR="00E85561" w:rsidRPr="004466CF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ประเภทพอร์ตของลูกหนี้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A6380D" w14:textId="1CE3D812" w:rsidR="00E85561" w:rsidRPr="006C43BD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10EB0" w14:textId="6BE4ECD9" w:rsidR="00E85561" w:rsidRPr="006C43BD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D1FBF" w14:textId="485F3785" w:rsidR="00E85561" w:rsidRPr="006C43BD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7C9DD" w14:textId="07E1B85F" w:rsidR="00E85561" w:rsidRPr="006C43BD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27F735" w14:textId="796AB9D3" w:rsidR="00E85561" w:rsidRPr="006C43BD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437084" w14:textId="77777777" w:rsidR="00E85561" w:rsidRPr="004466CF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403DA3" w14:textId="77777777" w:rsidR="00E85561" w:rsidRPr="004466CF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  <w:tr w:rsidR="00E85561" w:rsidRPr="00AB1A70" w14:paraId="257AA321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8FB0A" w14:textId="2103E696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4466CF">
              <w:rPr>
                <w:rFonts w:ascii="Tahoma" w:hAnsi="Tahoma" w:cs="Tahoma"/>
                <w:color w:val="00B050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38CBF" w14:textId="77777777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B3443" w14:textId="42BA87F1" w:rsidR="00E85561" w:rsidRPr="004466CF" w:rsidRDefault="00E85561" w:rsidP="00E85561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Debt M</w:t>
            </w:r>
            <w:r w:rsidRPr="00A2532F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oratorium for SMEs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09CA5" w14:textId="0E9A7254" w:rsidR="00E85561" w:rsidRPr="004466CF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64986" w14:textId="3100F0B5" w:rsidR="00E85561" w:rsidRPr="004466CF" w:rsidRDefault="00E85561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การเข้าร่วม</w:t>
            </w:r>
            <w:r w:rsidRPr="000E4059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 xml:space="preserve">มาตรการชะลอการชำระหนี้ </w:t>
            </w:r>
            <w:r w:rsidRPr="000E4059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SMEs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2F5C84" w14:textId="5E55DF0E" w:rsidR="00E85561" w:rsidRPr="000E4059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FD0EB0" w14:textId="1F5B08F6" w:rsidR="00E85561" w:rsidRPr="000E4059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974DD" w14:textId="027375ED" w:rsidR="00E85561" w:rsidRPr="000E4059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7536F3" w14:textId="227FAD30" w:rsidR="00E85561" w:rsidRPr="000E4059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C9DB13" w14:textId="2FD63E3C" w:rsidR="00E85561" w:rsidRPr="006C43BD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E636BA" w14:textId="77777777" w:rsidR="00E85561" w:rsidRPr="004466CF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6CE5AB5" w14:textId="77777777" w:rsidR="00E85561" w:rsidRPr="006F0CEA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</w:rPr>
            </w:pPr>
          </w:p>
        </w:tc>
      </w:tr>
      <w:tr w:rsidR="00E85561" w:rsidRPr="00AB1A70" w14:paraId="5A4D9B15" w14:textId="77777777" w:rsidTr="000675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8D708" w14:textId="1864F52C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4466CF">
              <w:rPr>
                <w:rFonts w:ascii="Tahoma" w:hAnsi="Tahoma" w:cs="Tahoma"/>
                <w:color w:val="00B050"/>
                <w:sz w:val="20"/>
                <w:szCs w:val="2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A9B" w14:textId="77777777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9855E" w14:textId="47C03CC5" w:rsidR="00E85561" w:rsidRPr="004466CF" w:rsidRDefault="000675A4" w:rsidP="00E85561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 xml:space="preserve">Principal </w:t>
            </w:r>
            <w:r w:rsidR="00E85561" w:rsidRPr="001A6972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55AA" w14:textId="45CFCC63" w:rsidR="00E85561" w:rsidRPr="004466CF" w:rsidRDefault="00E85561" w:rsidP="00E85561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E1957E4" w14:textId="6E8C62E4" w:rsidR="00E85561" w:rsidRPr="004466CF" w:rsidRDefault="000675A4" w:rsidP="00E85561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D867D" w14:textId="18DF56BC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D6040" w14:textId="4F83DDEA" w:rsidR="00E85561" w:rsidRPr="004466CF" w:rsidRDefault="00E85561" w:rsidP="00E85561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22E06" w14:textId="6E674D9B" w:rsidR="00E85561" w:rsidRPr="004466CF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3C6D8D" w14:textId="1C711DF3" w:rsidR="00E85561" w:rsidRPr="004466CF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439E1B" w14:textId="23B36453" w:rsidR="00E85561" w:rsidRPr="006C43BD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52A27" w14:textId="77777777" w:rsidR="00E85561" w:rsidRPr="004466CF" w:rsidRDefault="00E85561" w:rsidP="00E8556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3FF0AC9" w14:textId="77777777" w:rsidR="00E85561" w:rsidRPr="004466CF" w:rsidRDefault="00E85561" w:rsidP="00E85561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  <w:tr w:rsidR="000675A4" w:rsidRPr="00AB1A70" w14:paraId="48F78C9D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A66DBA" w14:textId="37E14EA1" w:rsidR="000675A4" w:rsidRPr="004466CF" w:rsidRDefault="000675A4" w:rsidP="000675A4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CC6059" w14:textId="77777777" w:rsidR="000675A4" w:rsidRPr="004466CF" w:rsidRDefault="000675A4" w:rsidP="000675A4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8FFC3" w14:textId="4F2D5CBB" w:rsidR="000675A4" w:rsidRPr="001A6972" w:rsidRDefault="000675A4" w:rsidP="000675A4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Interest</w:t>
            </w: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 xml:space="preserve"> </w:t>
            </w:r>
            <w:r w:rsidRPr="001A6972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B5FB" w14:textId="6284D1CE" w:rsidR="000675A4" w:rsidRDefault="000675A4" w:rsidP="000675A4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038A255F" w14:textId="61BFDCC2" w:rsidR="000675A4" w:rsidRDefault="000675A4" w:rsidP="000675A4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C8500D" w14:textId="5393F909" w:rsidR="000675A4" w:rsidRDefault="000675A4" w:rsidP="000675A4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0B3F8CF" w14:textId="6EC5BDD6" w:rsidR="000675A4" w:rsidRDefault="000675A4" w:rsidP="000675A4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35D013B" w14:textId="3310A657" w:rsidR="000675A4" w:rsidRDefault="000675A4" w:rsidP="000675A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204FAB7" w14:textId="20CA2B27" w:rsidR="000675A4" w:rsidRDefault="000675A4" w:rsidP="000675A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1326DB" w14:textId="06E63EF4" w:rsidR="000675A4" w:rsidRPr="006C43BD" w:rsidRDefault="000675A4" w:rsidP="000675A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DC67A5E" w14:textId="77777777" w:rsidR="000675A4" w:rsidRPr="004466CF" w:rsidRDefault="000675A4" w:rsidP="000675A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2516E0C" w14:textId="77777777" w:rsidR="000675A4" w:rsidRPr="004466CF" w:rsidRDefault="000675A4" w:rsidP="000675A4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77777777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2DCE360" w14:textId="0D5369AC" w:rsidR="0004634B" w:rsidRPr="00681DC2" w:rsidRDefault="006853B4" w:rsidP="000152E5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CB0CCF">
        <w:rPr>
          <w:rFonts w:ascii="Tahoma" w:hAnsi="Tahoma" w:cs="Tahoma"/>
          <w:sz w:val="20"/>
          <w:szCs w:val="20"/>
        </w:rPr>
        <w:t>DMS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="0004634B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5" w:name="_Toc45974101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5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27B87" w14:textId="77777777" w:rsidR="00545ACC" w:rsidRDefault="00545ACC" w:rsidP="002F4332">
      <w:pPr>
        <w:spacing w:after="0" w:line="240" w:lineRule="auto"/>
      </w:pPr>
      <w:r>
        <w:separator/>
      </w:r>
    </w:p>
  </w:endnote>
  <w:endnote w:type="continuationSeparator" w:id="0">
    <w:p w14:paraId="26BE0651" w14:textId="77777777" w:rsidR="00545ACC" w:rsidRDefault="00545ACC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0A997B3E" w:rsidR="004466CF" w:rsidRDefault="004466C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4466CF" w:rsidRPr="00310BBE" w:rsidRDefault="004466CF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066855E3" w:rsidR="004466CF" w:rsidRPr="00310BBE" w:rsidRDefault="004466CF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3</w:t>
                          </w:r>
                        </w:p>
                        <w:p w14:paraId="7E4F823D" w14:textId="77777777" w:rsidR="004466CF" w:rsidRPr="00310BBE" w:rsidRDefault="004466CF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4466CF" w:rsidRPr="00310BBE" w:rsidRDefault="004466CF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066855E3" w:rsidR="004466CF" w:rsidRPr="00310BBE" w:rsidRDefault="004466CF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3</w:t>
                    </w:r>
                  </w:p>
                  <w:p w14:paraId="7E4F823D" w14:textId="77777777" w:rsidR="004466CF" w:rsidRPr="00310BBE" w:rsidRDefault="004466CF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4466CF" w:rsidRPr="004843BB" w:rsidRDefault="004466CF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4466CF" w:rsidRPr="004843BB" w:rsidRDefault="004466CF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4466CF" w:rsidRPr="007D71A9" w:rsidRDefault="004466CF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4466CF" w:rsidRPr="00A24074" w:rsidRDefault="004466CF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4466CF" w:rsidRPr="004843BB" w:rsidRDefault="004466CF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4466CF" w:rsidRPr="004843BB" w:rsidRDefault="004466CF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4466CF" w:rsidRPr="007D71A9" w:rsidRDefault="004466CF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4466CF" w:rsidRPr="00A24074" w:rsidRDefault="004466CF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FE8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-.2pt" to="71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6AAC8993" w:rsidR="004466CF" w:rsidRPr="00CA477A" w:rsidRDefault="004466CF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F56AA8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4466CF" w:rsidRDefault="004466CF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297AA736" w:rsidR="004466CF" w:rsidRDefault="004466C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4466CF" w:rsidRPr="0041541E" w:rsidRDefault="004466CF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7231AE41" w:rsidR="004466CF" w:rsidRPr="00B36523" w:rsidRDefault="004466CF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4466CF" w:rsidRPr="0041541E" w:rsidRDefault="004466CF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7231AE41" w:rsidR="004466CF" w:rsidRPr="00B36523" w:rsidRDefault="004466CF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29EFE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4466CF" w:rsidRPr="0041541E" w:rsidRDefault="004466CF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4466CF" w:rsidRPr="0041541E" w:rsidRDefault="004466CF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4466CF" w:rsidRPr="0041541E" w:rsidRDefault="004466CF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4466CF" w:rsidRPr="0041541E" w:rsidRDefault="004466CF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48AC8" w14:textId="77777777" w:rsidR="00545ACC" w:rsidRDefault="00545ACC" w:rsidP="002F4332">
      <w:pPr>
        <w:spacing w:after="0" w:line="240" w:lineRule="auto"/>
      </w:pPr>
      <w:r>
        <w:separator/>
      </w:r>
    </w:p>
  </w:footnote>
  <w:footnote w:type="continuationSeparator" w:id="0">
    <w:p w14:paraId="5C901A72" w14:textId="77777777" w:rsidR="00545ACC" w:rsidRDefault="00545ACC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4466CF" w:rsidRDefault="004466CF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4466CF" w:rsidRDefault="004466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4466CF" w:rsidRDefault="004466CF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433B"/>
    <w:rsid w:val="0001498B"/>
    <w:rsid w:val="000152E5"/>
    <w:rsid w:val="00015516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34B"/>
    <w:rsid w:val="00050EBC"/>
    <w:rsid w:val="00051DDF"/>
    <w:rsid w:val="00054485"/>
    <w:rsid w:val="0005502F"/>
    <w:rsid w:val="000556ED"/>
    <w:rsid w:val="00062517"/>
    <w:rsid w:val="0006511C"/>
    <w:rsid w:val="00066379"/>
    <w:rsid w:val="000675A4"/>
    <w:rsid w:val="000704A4"/>
    <w:rsid w:val="00076DD3"/>
    <w:rsid w:val="00080D16"/>
    <w:rsid w:val="000858E9"/>
    <w:rsid w:val="00091BE5"/>
    <w:rsid w:val="000936F0"/>
    <w:rsid w:val="00096C53"/>
    <w:rsid w:val="000A305F"/>
    <w:rsid w:val="000A7ABD"/>
    <w:rsid w:val="000B2459"/>
    <w:rsid w:val="000B7EDD"/>
    <w:rsid w:val="000C2586"/>
    <w:rsid w:val="000C3664"/>
    <w:rsid w:val="000C47A2"/>
    <w:rsid w:val="000D30ED"/>
    <w:rsid w:val="000D7CCA"/>
    <w:rsid w:val="000E4059"/>
    <w:rsid w:val="000F01E1"/>
    <w:rsid w:val="000F42D6"/>
    <w:rsid w:val="00113BC2"/>
    <w:rsid w:val="0011757A"/>
    <w:rsid w:val="00125561"/>
    <w:rsid w:val="0012680C"/>
    <w:rsid w:val="00131943"/>
    <w:rsid w:val="001353A3"/>
    <w:rsid w:val="00137611"/>
    <w:rsid w:val="00142169"/>
    <w:rsid w:val="00143ED9"/>
    <w:rsid w:val="00146D45"/>
    <w:rsid w:val="001554A4"/>
    <w:rsid w:val="00160CDE"/>
    <w:rsid w:val="00165D26"/>
    <w:rsid w:val="0016774B"/>
    <w:rsid w:val="00167A72"/>
    <w:rsid w:val="001706A7"/>
    <w:rsid w:val="001803B7"/>
    <w:rsid w:val="001821C7"/>
    <w:rsid w:val="00182EE1"/>
    <w:rsid w:val="00185ABE"/>
    <w:rsid w:val="00186AEA"/>
    <w:rsid w:val="001A064B"/>
    <w:rsid w:val="001A6972"/>
    <w:rsid w:val="001B06BB"/>
    <w:rsid w:val="001B1E5F"/>
    <w:rsid w:val="001B2E4C"/>
    <w:rsid w:val="001C3DC0"/>
    <w:rsid w:val="001D0965"/>
    <w:rsid w:val="001D73D2"/>
    <w:rsid w:val="001E1445"/>
    <w:rsid w:val="001E6D94"/>
    <w:rsid w:val="001F0D9A"/>
    <w:rsid w:val="001F3CF2"/>
    <w:rsid w:val="001F65BB"/>
    <w:rsid w:val="00201C83"/>
    <w:rsid w:val="00205B15"/>
    <w:rsid w:val="002104F6"/>
    <w:rsid w:val="002242CC"/>
    <w:rsid w:val="00241569"/>
    <w:rsid w:val="00241E44"/>
    <w:rsid w:val="00247116"/>
    <w:rsid w:val="00247125"/>
    <w:rsid w:val="00254208"/>
    <w:rsid w:val="002554FF"/>
    <w:rsid w:val="00265713"/>
    <w:rsid w:val="0027263A"/>
    <w:rsid w:val="00274DCE"/>
    <w:rsid w:val="00275F9A"/>
    <w:rsid w:val="00276150"/>
    <w:rsid w:val="0028074D"/>
    <w:rsid w:val="00281009"/>
    <w:rsid w:val="00287658"/>
    <w:rsid w:val="00292063"/>
    <w:rsid w:val="00292E5F"/>
    <w:rsid w:val="00296764"/>
    <w:rsid w:val="00296B37"/>
    <w:rsid w:val="002A3B59"/>
    <w:rsid w:val="002A7C09"/>
    <w:rsid w:val="002B1596"/>
    <w:rsid w:val="002B46D5"/>
    <w:rsid w:val="002C3652"/>
    <w:rsid w:val="002C65E8"/>
    <w:rsid w:val="002C7956"/>
    <w:rsid w:val="002D0364"/>
    <w:rsid w:val="002D13B0"/>
    <w:rsid w:val="002D1574"/>
    <w:rsid w:val="002D2CA0"/>
    <w:rsid w:val="002D7F09"/>
    <w:rsid w:val="002E48E4"/>
    <w:rsid w:val="002E5AA1"/>
    <w:rsid w:val="002F22E3"/>
    <w:rsid w:val="002F4332"/>
    <w:rsid w:val="002F5242"/>
    <w:rsid w:val="002F7528"/>
    <w:rsid w:val="002F7ED7"/>
    <w:rsid w:val="003011A3"/>
    <w:rsid w:val="00301A14"/>
    <w:rsid w:val="00303159"/>
    <w:rsid w:val="00307295"/>
    <w:rsid w:val="00310BBE"/>
    <w:rsid w:val="00313DE1"/>
    <w:rsid w:val="003149C9"/>
    <w:rsid w:val="00320651"/>
    <w:rsid w:val="00320DCB"/>
    <w:rsid w:val="00324082"/>
    <w:rsid w:val="00326534"/>
    <w:rsid w:val="003272E2"/>
    <w:rsid w:val="0033677C"/>
    <w:rsid w:val="00342455"/>
    <w:rsid w:val="0035030B"/>
    <w:rsid w:val="0035399B"/>
    <w:rsid w:val="00360B72"/>
    <w:rsid w:val="003649AF"/>
    <w:rsid w:val="003674ED"/>
    <w:rsid w:val="00367603"/>
    <w:rsid w:val="00372BEF"/>
    <w:rsid w:val="003733F3"/>
    <w:rsid w:val="00374025"/>
    <w:rsid w:val="00375812"/>
    <w:rsid w:val="003820EA"/>
    <w:rsid w:val="003A0E1A"/>
    <w:rsid w:val="003A2100"/>
    <w:rsid w:val="003B1700"/>
    <w:rsid w:val="003C40EC"/>
    <w:rsid w:val="003E00DE"/>
    <w:rsid w:val="003E3810"/>
    <w:rsid w:val="003E70E1"/>
    <w:rsid w:val="003F05D0"/>
    <w:rsid w:val="003F2F55"/>
    <w:rsid w:val="00402ED0"/>
    <w:rsid w:val="004042F1"/>
    <w:rsid w:val="00404B65"/>
    <w:rsid w:val="00411C51"/>
    <w:rsid w:val="004128B9"/>
    <w:rsid w:val="0041541E"/>
    <w:rsid w:val="004179B5"/>
    <w:rsid w:val="00422883"/>
    <w:rsid w:val="00426DA9"/>
    <w:rsid w:val="004373F4"/>
    <w:rsid w:val="00437B71"/>
    <w:rsid w:val="004466CF"/>
    <w:rsid w:val="00450458"/>
    <w:rsid w:val="004518C6"/>
    <w:rsid w:val="004526EE"/>
    <w:rsid w:val="00486D69"/>
    <w:rsid w:val="00487B3F"/>
    <w:rsid w:val="004A254F"/>
    <w:rsid w:val="004A2D12"/>
    <w:rsid w:val="004A58B1"/>
    <w:rsid w:val="004A70E8"/>
    <w:rsid w:val="004B14E3"/>
    <w:rsid w:val="004C2424"/>
    <w:rsid w:val="004C75B5"/>
    <w:rsid w:val="004D3BE2"/>
    <w:rsid w:val="004F0277"/>
    <w:rsid w:val="004F2992"/>
    <w:rsid w:val="004F6F63"/>
    <w:rsid w:val="005109D3"/>
    <w:rsid w:val="005246FB"/>
    <w:rsid w:val="005275EC"/>
    <w:rsid w:val="0053634D"/>
    <w:rsid w:val="005402C9"/>
    <w:rsid w:val="00545ACC"/>
    <w:rsid w:val="005507D5"/>
    <w:rsid w:val="00551449"/>
    <w:rsid w:val="00553B25"/>
    <w:rsid w:val="00553B3D"/>
    <w:rsid w:val="00557995"/>
    <w:rsid w:val="00561DF4"/>
    <w:rsid w:val="00562D71"/>
    <w:rsid w:val="00564499"/>
    <w:rsid w:val="0056577E"/>
    <w:rsid w:val="005675EE"/>
    <w:rsid w:val="00576182"/>
    <w:rsid w:val="00586FF1"/>
    <w:rsid w:val="0059067A"/>
    <w:rsid w:val="005909F4"/>
    <w:rsid w:val="005937F6"/>
    <w:rsid w:val="00593D53"/>
    <w:rsid w:val="005B04CC"/>
    <w:rsid w:val="005B06A7"/>
    <w:rsid w:val="005B4B63"/>
    <w:rsid w:val="005C0084"/>
    <w:rsid w:val="005C06B1"/>
    <w:rsid w:val="005C3B17"/>
    <w:rsid w:val="005C580F"/>
    <w:rsid w:val="005C7303"/>
    <w:rsid w:val="005C7DE5"/>
    <w:rsid w:val="005D19B3"/>
    <w:rsid w:val="005D2B6A"/>
    <w:rsid w:val="005D7180"/>
    <w:rsid w:val="005E20B9"/>
    <w:rsid w:val="005E3186"/>
    <w:rsid w:val="005E37B6"/>
    <w:rsid w:val="005E4C05"/>
    <w:rsid w:val="005F35DF"/>
    <w:rsid w:val="005F5E24"/>
    <w:rsid w:val="0060326B"/>
    <w:rsid w:val="006078A3"/>
    <w:rsid w:val="006129D2"/>
    <w:rsid w:val="00630B1E"/>
    <w:rsid w:val="006346AC"/>
    <w:rsid w:val="006370F6"/>
    <w:rsid w:val="00643AC0"/>
    <w:rsid w:val="00644735"/>
    <w:rsid w:val="00652D49"/>
    <w:rsid w:val="0065561F"/>
    <w:rsid w:val="00656D44"/>
    <w:rsid w:val="00661E62"/>
    <w:rsid w:val="00664380"/>
    <w:rsid w:val="00667164"/>
    <w:rsid w:val="0066794D"/>
    <w:rsid w:val="00675391"/>
    <w:rsid w:val="00680210"/>
    <w:rsid w:val="00681DC2"/>
    <w:rsid w:val="006853B4"/>
    <w:rsid w:val="00691DA6"/>
    <w:rsid w:val="006964F1"/>
    <w:rsid w:val="00696C01"/>
    <w:rsid w:val="006A1E60"/>
    <w:rsid w:val="006A7412"/>
    <w:rsid w:val="006B468D"/>
    <w:rsid w:val="006B7679"/>
    <w:rsid w:val="006C27C6"/>
    <w:rsid w:val="006C43BD"/>
    <w:rsid w:val="006C4C14"/>
    <w:rsid w:val="006C587F"/>
    <w:rsid w:val="006C5B6B"/>
    <w:rsid w:val="006C71E2"/>
    <w:rsid w:val="006D14A3"/>
    <w:rsid w:val="006D6B9D"/>
    <w:rsid w:val="006D7C6C"/>
    <w:rsid w:val="006E6411"/>
    <w:rsid w:val="006F03E5"/>
    <w:rsid w:val="006F0CEA"/>
    <w:rsid w:val="00700E72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423CC"/>
    <w:rsid w:val="0075564F"/>
    <w:rsid w:val="0075787F"/>
    <w:rsid w:val="007602DA"/>
    <w:rsid w:val="00760794"/>
    <w:rsid w:val="00765A0B"/>
    <w:rsid w:val="0077456F"/>
    <w:rsid w:val="00774889"/>
    <w:rsid w:val="007802D7"/>
    <w:rsid w:val="00781318"/>
    <w:rsid w:val="00781324"/>
    <w:rsid w:val="007814C8"/>
    <w:rsid w:val="00787B3D"/>
    <w:rsid w:val="0079020A"/>
    <w:rsid w:val="00790BE8"/>
    <w:rsid w:val="00793871"/>
    <w:rsid w:val="00796023"/>
    <w:rsid w:val="00796BDF"/>
    <w:rsid w:val="00797C75"/>
    <w:rsid w:val="007A51B8"/>
    <w:rsid w:val="007A69D5"/>
    <w:rsid w:val="007B1A11"/>
    <w:rsid w:val="007B620B"/>
    <w:rsid w:val="007B72C0"/>
    <w:rsid w:val="007B7657"/>
    <w:rsid w:val="007C01DC"/>
    <w:rsid w:val="007C0EE4"/>
    <w:rsid w:val="007C1C20"/>
    <w:rsid w:val="007C478B"/>
    <w:rsid w:val="007D1630"/>
    <w:rsid w:val="007D1C9A"/>
    <w:rsid w:val="007D2875"/>
    <w:rsid w:val="007D3D70"/>
    <w:rsid w:val="007D7762"/>
    <w:rsid w:val="007E1C39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23902"/>
    <w:rsid w:val="008325B2"/>
    <w:rsid w:val="00836C8D"/>
    <w:rsid w:val="008407DC"/>
    <w:rsid w:val="00840A44"/>
    <w:rsid w:val="00845AC4"/>
    <w:rsid w:val="00851A4E"/>
    <w:rsid w:val="00856FAF"/>
    <w:rsid w:val="00857330"/>
    <w:rsid w:val="00861F90"/>
    <w:rsid w:val="00863520"/>
    <w:rsid w:val="00870D03"/>
    <w:rsid w:val="00877B6D"/>
    <w:rsid w:val="00887FD0"/>
    <w:rsid w:val="008919E8"/>
    <w:rsid w:val="00897F41"/>
    <w:rsid w:val="008A2AD3"/>
    <w:rsid w:val="008B180A"/>
    <w:rsid w:val="008B55EC"/>
    <w:rsid w:val="008C1FBD"/>
    <w:rsid w:val="008C2529"/>
    <w:rsid w:val="008C49D2"/>
    <w:rsid w:val="008D2B18"/>
    <w:rsid w:val="008D5480"/>
    <w:rsid w:val="008D67C6"/>
    <w:rsid w:val="008D6F81"/>
    <w:rsid w:val="008E58CC"/>
    <w:rsid w:val="008F3685"/>
    <w:rsid w:val="00901351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7D9C"/>
    <w:rsid w:val="00947E33"/>
    <w:rsid w:val="009513E1"/>
    <w:rsid w:val="0096151E"/>
    <w:rsid w:val="009750EE"/>
    <w:rsid w:val="0097512F"/>
    <w:rsid w:val="00975792"/>
    <w:rsid w:val="009762E2"/>
    <w:rsid w:val="00980FA5"/>
    <w:rsid w:val="00984732"/>
    <w:rsid w:val="0098681B"/>
    <w:rsid w:val="00986861"/>
    <w:rsid w:val="009904F1"/>
    <w:rsid w:val="00991F73"/>
    <w:rsid w:val="009A3ED6"/>
    <w:rsid w:val="009A4105"/>
    <w:rsid w:val="009B39DB"/>
    <w:rsid w:val="009C3A8D"/>
    <w:rsid w:val="009C4739"/>
    <w:rsid w:val="009D0ADE"/>
    <w:rsid w:val="009E2F70"/>
    <w:rsid w:val="009E3871"/>
    <w:rsid w:val="009E460D"/>
    <w:rsid w:val="009F2B1F"/>
    <w:rsid w:val="00A0394C"/>
    <w:rsid w:val="00A11C64"/>
    <w:rsid w:val="00A17890"/>
    <w:rsid w:val="00A24074"/>
    <w:rsid w:val="00A2532F"/>
    <w:rsid w:val="00A25BBE"/>
    <w:rsid w:val="00A31562"/>
    <w:rsid w:val="00A366D7"/>
    <w:rsid w:val="00A411CB"/>
    <w:rsid w:val="00A414AB"/>
    <w:rsid w:val="00A449FF"/>
    <w:rsid w:val="00A506AF"/>
    <w:rsid w:val="00A73412"/>
    <w:rsid w:val="00A74D2D"/>
    <w:rsid w:val="00A75B6C"/>
    <w:rsid w:val="00A76330"/>
    <w:rsid w:val="00A76C38"/>
    <w:rsid w:val="00A81D4A"/>
    <w:rsid w:val="00A83B41"/>
    <w:rsid w:val="00A929FC"/>
    <w:rsid w:val="00A95241"/>
    <w:rsid w:val="00AA1507"/>
    <w:rsid w:val="00AA17AC"/>
    <w:rsid w:val="00AA4BE9"/>
    <w:rsid w:val="00AB0315"/>
    <w:rsid w:val="00AB1A70"/>
    <w:rsid w:val="00AB3F83"/>
    <w:rsid w:val="00AC06A4"/>
    <w:rsid w:val="00AC2033"/>
    <w:rsid w:val="00AC2649"/>
    <w:rsid w:val="00AC4080"/>
    <w:rsid w:val="00AC7355"/>
    <w:rsid w:val="00AD30C7"/>
    <w:rsid w:val="00AD62E3"/>
    <w:rsid w:val="00AD7942"/>
    <w:rsid w:val="00AE0CED"/>
    <w:rsid w:val="00AE11A1"/>
    <w:rsid w:val="00AE5015"/>
    <w:rsid w:val="00AE6AD6"/>
    <w:rsid w:val="00AF2F45"/>
    <w:rsid w:val="00AF3801"/>
    <w:rsid w:val="00AF6B00"/>
    <w:rsid w:val="00B00D89"/>
    <w:rsid w:val="00B2566F"/>
    <w:rsid w:val="00B26302"/>
    <w:rsid w:val="00B275A8"/>
    <w:rsid w:val="00B33546"/>
    <w:rsid w:val="00B33F72"/>
    <w:rsid w:val="00B36523"/>
    <w:rsid w:val="00B40507"/>
    <w:rsid w:val="00B40ACC"/>
    <w:rsid w:val="00B430FF"/>
    <w:rsid w:val="00B470B0"/>
    <w:rsid w:val="00B532FE"/>
    <w:rsid w:val="00B54D10"/>
    <w:rsid w:val="00B61D2A"/>
    <w:rsid w:val="00B7041C"/>
    <w:rsid w:val="00B7181B"/>
    <w:rsid w:val="00B72839"/>
    <w:rsid w:val="00B81450"/>
    <w:rsid w:val="00B81A43"/>
    <w:rsid w:val="00B830B0"/>
    <w:rsid w:val="00B8680E"/>
    <w:rsid w:val="00BA7729"/>
    <w:rsid w:val="00BB2319"/>
    <w:rsid w:val="00BB3A8C"/>
    <w:rsid w:val="00BB560A"/>
    <w:rsid w:val="00BB6E4C"/>
    <w:rsid w:val="00BC0DA9"/>
    <w:rsid w:val="00BC129B"/>
    <w:rsid w:val="00BC48D7"/>
    <w:rsid w:val="00BD3A63"/>
    <w:rsid w:val="00BD7CFE"/>
    <w:rsid w:val="00BE0870"/>
    <w:rsid w:val="00BE5972"/>
    <w:rsid w:val="00BF133D"/>
    <w:rsid w:val="00BF3C5E"/>
    <w:rsid w:val="00BF536D"/>
    <w:rsid w:val="00BF6388"/>
    <w:rsid w:val="00BF7BFF"/>
    <w:rsid w:val="00C008E2"/>
    <w:rsid w:val="00C02EE9"/>
    <w:rsid w:val="00C03393"/>
    <w:rsid w:val="00C03C41"/>
    <w:rsid w:val="00C21723"/>
    <w:rsid w:val="00C2446B"/>
    <w:rsid w:val="00C372C4"/>
    <w:rsid w:val="00C44ED3"/>
    <w:rsid w:val="00C577D2"/>
    <w:rsid w:val="00C57CA9"/>
    <w:rsid w:val="00C640A8"/>
    <w:rsid w:val="00C647E6"/>
    <w:rsid w:val="00C739BD"/>
    <w:rsid w:val="00C760A6"/>
    <w:rsid w:val="00C8077C"/>
    <w:rsid w:val="00C8364A"/>
    <w:rsid w:val="00CA77B0"/>
    <w:rsid w:val="00CB0CCF"/>
    <w:rsid w:val="00CB14E0"/>
    <w:rsid w:val="00CB38BC"/>
    <w:rsid w:val="00CB7029"/>
    <w:rsid w:val="00CC5754"/>
    <w:rsid w:val="00CC59C6"/>
    <w:rsid w:val="00CC7265"/>
    <w:rsid w:val="00CC7678"/>
    <w:rsid w:val="00CD07C1"/>
    <w:rsid w:val="00CD39EB"/>
    <w:rsid w:val="00CE4AAB"/>
    <w:rsid w:val="00CF0BFA"/>
    <w:rsid w:val="00CF3B73"/>
    <w:rsid w:val="00CF4F4D"/>
    <w:rsid w:val="00CF7B68"/>
    <w:rsid w:val="00D003CF"/>
    <w:rsid w:val="00D018AA"/>
    <w:rsid w:val="00D07A50"/>
    <w:rsid w:val="00D10DC9"/>
    <w:rsid w:val="00D1129B"/>
    <w:rsid w:val="00D14813"/>
    <w:rsid w:val="00D17D36"/>
    <w:rsid w:val="00D258EB"/>
    <w:rsid w:val="00D27097"/>
    <w:rsid w:val="00D32B52"/>
    <w:rsid w:val="00D3494F"/>
    <w:rsid w:val="00D3687B"/>
    <w:rsid w:val="00D37496"/>
    <w:rsid w:val="00D401BC"/>
    <w:rsid w:val="00D42917"/>
    <w:rsid w:val="00D460D2"/>
    <w:rsid w:val="00D55B9C"/>
    <w:rsid w:val="00D83415"/>
    <w:rsid w:val="00D8799F"/>
    <w:rsid w:val="00DA2789"/>
    <w:rsid w:val="00DA294B"/>
    <w:rsid w:val="00DA7316"/>
    <w:rsid w:val="00DB1935"/>
    <w:rsid w:val="00DB4B9B"/>
    <w:rsid w:val="00DB7E38"/>
    <w:rsid w:val="00DC2E3A"/>
    <w:rsid w:val="00DC4854"/>
    <w:rsid w:val="00DD05CF"/>
    <w:rsid w:val="00DD52D6"/>
    <w:rsid w:val="00DE1639"/>
    <w:rsid w:val="00DE37D4"/>
    <w:rsid w:val="00DE5BF1"/>
    <w:rsid w:val="00DF0F88"/>
    <w:rsid w:val="00DF48C3"/>
    <w:rsid w:val="00E0485C"/>
    <w:rsid w:val="00E054A5"/>
    <w:rsid w:val="00E06F70"/>
    <w:rsid w:val="00E1464C"/>
    <w:rsid w:val="00E146C7"/>
    <w:rsid w:val="00E21333"/>
    <w:rsid w:val="00E24DBB"/>
    <w:rsid w:val="00E30F93"/>
    <w:rsid w:val="00E31251"/>
    <w:rsid w:val="00E324FC"/>
    <w:rsid w:val="00E33D34"/>
    <w:rsid w:val="00E43B7F"/>
    <w:rsid w:val="00E44D1B"/>
    <w:rsid w:val="00E44E10"/>
    <w:rsid w:val="00E47D37"/>
    <w:rsid w:val="00E54F45"/>
    <w:rsid w:val="00E56963"/>
    <w:rsid w:val="00E601AF"/>
    <w:rsid w:val="00E62789"/>
    <w:rsid w:val="00E6341E"/>
    <w:rsid w:val="00E70FEA"/>
    <w:rsid w:val="00E85561"/>
    <w:rsid w:val="00E92263"/>
    <w:rsid w:val="00E95158"/>
    <w:rsid w:val="00E95D80"/>
    <w:rsid w:val="00E96ABA"/>
    <w:rsid w:val="00EC0556"/>
    <w:rsid w:val="00EC34AA"/>
    <w:rsid w:val="00ED1049"/>
    <w:rsid w:val="00ED4DA7"/>
    <w:rsid w:val="00EE28D6"/>
    <w:rsid w:val="00EE5CDA"/>
    <w:rsid w:val="00EE785B"/>
    <w:rsid w:val="00EF2E1F"/>
    <w:rsid w:val="00F00030"/>
    <w:rsid w:val="00F02C1B"/>
    <w:rsid w:val="00F0717B"/>
    <w:rsid w:val="00F143A1"/>
    <w:rsid w:val="00F31F21"/>
    <w:rsid w:val="00F331F4"/>
    <w:rsid w:val="00F34E30"/>
    <w:rsid w:val="00F3717F"/>
    <w:rsid w:val="00F40B4A"/>
    <w:rsid w:val="00F5253E"/>
    <w:rsid w:val="00F52930"/>
    <w:rsid w:val="00F56AA8"/>
    <w:rsid w:val="00F7139C"/>
    <w:rsid w:val="00F759A3"/>
    <w:rsid w:val="00F8063A"/>
    <w:rsid w:val="00F93203"/>
    <w:rsid w:val="00F93ADD"/>
    <w:rsid w:val="00F9435D"/>
    <w:rsid w:val="00F944C2"/>
    <w:rsid w:val="00F949DF"/>
    <w:rsid w:val="00FA1844"/>
    <w:rsid w:val="00FA2FBC"/>
    <w:rsid w:val="00FA74C5"/>
    <w:rsid w:val="00FB049B"/>
    <w:rsid w:val="00FB1629"/>
    <w:rsid w:val="00FB1C5C"/>
    <w:rsid w:val="00FB72B8"/>
    <w:rsid w:val="00FC11D0"/>
    <w:rsid w:val="00FC3DF9"/>
    <w:rsid w:val="00FC566F"/>
    <w:rsid w:val="00FC649B"/>
    <w:rsid w:val="00FD2AC6"/>
    <w:rsid w:val="00FD7DF9"/>
    <w:rsid w:val="00FE08B9"/>
    <w:rsid w:val="00FE205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B9D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062517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b/>
      <w:bCs/>
      <w:noProof/>
      <w:color w:val="00B050"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customXml/itemProps3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1195A3-62EC-42C5-A546-56E15364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16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Pasachol Musikasintorn (พรรษชล มุสิกสินธร)</cp:lastModifiedBy>
  <cp:revision>37</cp:revision>
  <cp:lastPrinted>2020-07-22T15:35:00Z</cp:lastPrinted>
  <dcterms:created xsi:type="dcterms:W3CDTF">2020-11-09T02:18:00Z</dcterms:created>
  <dcterms:modified xsi:type="dcterms:W3CDTF">2021-06-28T13:40:00Z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