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D006CF" w:rsidRDefault="00454EA0" w:rsidP="00380B74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D006CF">
        <w:rPr>
          <w:rFonts w:cs="Tahoma"/>
          <w:sz w:val="20"/>
          <w:szCs w:val="20"/>
        </w:rPr>
        <w:t>Summary of changes on “</w:t>
      </w:r>
      <w:r w:rsidR="00322D72" w:rsidRPr="00D006CF">
        <w:rPr>
          <w:rFonts w:cs="Tahoma"/>
          <w:sz w:val="20"/>
          <w:szCs w:val="20"/>
          <w:u w:val="single"/>
        </w:rPr>
        <w:t>LTV</w:t>
      </w:r>
      <w:r w:rsidR="00BE13E6" w:rsidRPr="00D006CF">
        <w:rPr>
          <w:rFonts w:cs="Tahoma"/>
          <w:sz w:val="20"/>
          <w:szCs w:val="20"/>
          <w:u w:val="single"/>
        </w:rPr>
        <w:t xml:space="preserve"> </w:t>
      </w:r>
      <w:r w:rsidRPr="00D006CF">
        <w:rPr>
          <w:rFonts w:cs="Tahoma"/>
          <w:sz w:val="20"/>
          <w:szCs w:val="20"/>
          <w:u w:val="single"/>
        </w:rPr>
        <w:t>Classification Document</w:t>
      </w:r>
      <w:r w:rsidRPr="00D006CF">
        <w:rPr>
          <w:rFonts w:cs="Tahoma"/>
          <w:sz w:val="20"/>
          <w:szCs w:val="20"/>
        </w:rPr>
        <w:t xml:space="preserve">” </w:t>
      </w:r>
    </w:p>
    <w:p w:rsidR="00454EA0" w:rsidRPr="00D006CF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D006CF">
        <w:rPr>
          <w:rFonts w:cs="Tahoma"/>
          <w:sz w:val="20"/>
          <w:szCs w:val="20"/>
        </w:rPr>
        <w:t xml:space="preserve">Update on </w:t>
      </w:r>
      <w:r w:rsidR="00322D72" w:rsidRPr="00D006CF">
        <w:rPr>
          <w:rFonts w:cs="Tahoma"/>
          <w:sz w:val="20"/>
          <w:szCs w:val="20"/>
        </w:rPr>
        <w:t>LTV</w:t>
      </w:r>
      <w:r w:rsidR="005A5CEC" w:rsidRPr="00D006CF">
        <w:rPr>
          <w:rFonts w:cs="Tahoma"/>
          <w:sz w:val="20"/>
          <w:szCs w:val="20"/>
        </w:rPr>
        <w:t xml:space="preserve"> </w:t>
      </w:r>
      <w:r w:rsidRPr="00D006CF">
        <w:rPr>
          <w:rFonts w:cs="Tahoma"/>
          <w:sz w:val="20"/>
          <w:szCs w:val="20"/>
        </w:rPr>
        <w:t xml:space="preserve">Classification Document version </w:t>
      </w:r>
      <w:r w:rsidR="0049117F" w:rsidRPr="00D006CF">
        <w:rPr>
          <w:rFonts w:cs="Tahoma"/>
          <w:sz w:val="20"/>
          <w:szCs w:val="20"/>
          <w:cs/>
          <w:lang w:bidi="th-TH"/>
        </w:rPr>
        <w:t>1.</w:t>
      </w:r>
      <w:r w:rsidR="00564AF1" w:rsidRPr="00D006CF">
        <w:rPr>
          <w:rFonts w:cs="Tahoma"/>
          <w:sz w:val="20"/>
          <w:szCs w:val="20"/>
          <w:lang w:bidi="th-TH"/>
        </w:rPr>
        <w:t>2</w:t>
      </w:r>
    </w:p>
    <w:p w:rsidR="007975E5" w:rsidRPr="00D006CF" w:rsidRDefault="00454EA0" w:rsidP="00380B74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D006CF">
        <w:rPr>
          <w:rFonts w:cs="Tahoma"/>
          <w:sz w:val="20"/>
          <w:szCs w:val="20"/>
        </w:rPr>
        <w:t xml:space="preserve">Remark:  </w:t>
      </w:r>
      <w:r w:rsidR="00BE13E6" w:rsidRPr="00D006CF">
        <w:rPr>
          <w:rFonts w:cs="Tahoma"/>
          <w:sz w:val="20"/>
          <w:szCs w:val="20"/>
        </w:rPr>
        <w:t xml:space="preserve">All changes from version </w:t>
      </w:r>
      <w:r w:rsidR="006C5AD8" w:rsidRPr="00D006CF">
        <w:rPr>
          <w:rFonts w:cs="Tahoma"/>
          <w:sz w:val="20"/>
          <w:szCs w:val="20"/>
        </w:rPr>
        <w:t>1</w:t>
      </w:r>
      <w:r w:rsidR="00564AF1" w:rsidRPr="00D006CF">
        <w:rPr>
          <w:rFonts w:cs="Tahoma"/>
          <w:sz w:val="20"/>
          <w:szCs w:val="20"/>
        </w:rPr>
        <w:t>.1</w:t>
      </w:r>
      <w:r w:rsidR="00BE13E6" w:rsidRPr="00D006CF">
        <w:rPr>
          <w:rFonts w:cs="Tahoma"/>
          <w:sz w:val="20"/>
          <w:szCs w:val="20"/>
        </w:rPr>
        <w:t xml:space="preserve"> to version 1.</w:t>
      </w:r>
      <w:r w:rsidR="00564AF1" w:rsidRPr="00D006CF">
        <w:rPr>
          <w:rFonts w:cs="Tahoma"/>
          <w:sz w:val="20"/>
          <w:szCs w:val="20"/>
        </w:rPr>
        <w:t>2</w:t>
      </w:r>
      <w:r w:rsidR="00BE13E6" w:rsidRPr="00D006CF">
        <w:rPr>
          <w:rFonts w:cs="Tahoma"/>
          <w:sz w:val="20"/>
          <w:szCs w:val="20"/>
        </w:rPr>
        <w:t xml:space="preserve"> are in </w:t>
      </w:r>
      <w:r w:rsidR="00564AF1" w:rsidRPr="00D006CF">
        <w:rPr>
          <w:rFonts w:cs="Tahoma"/>
          <w:color w:val="FF0000"/>
          <w:sz w:val="20"/>
          <w:szCs w:val="20"/>
        </w:rPr>
        <w:t>red</w:t>
      </w:r>
      <w:r w:rsidR="00BE13E6" w:rsidRPr="00D006CF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5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865"/>
        <w:gridCol w:w="1402"/>
        <w:gridCol w:w="1570"/>
        <w:gridCol w:w="10542"/>
      </w:tblGrid>
      <w:tr w:rsidR="00DD5859" w:rsidRPr="00D006CF" w:rsidTr="00A945E9">
        <w:trPr>
          <w:trHeight w:val="857"/>
          <w:tblHeader/>
        </w:trPr>
        <w:tc>
          <w:tcPr>
            <w:tcW w:w="1022" w:type="dxa"/>
            <w:shd w:val="clear" w:color="auto" w:fill="auto"/>
          </w:tcPr>
          <w:p w:rsidR="00DD5859" w:rsidRPr="00D006CF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5" w:type="dxa"/>
            <w:shd w:val="clear" w:color="auto" w:fill="auto"/>
          </w:tcPr>
          <w:p w:rsidR="00DD5859" w:rsidRPr="00D006CF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402" w:type="dxa"/>
            <w:shd w:val="clear" w:color="auto" w:fill="auto"/>
          </w:tcPr>
          <w:p w:rsidR="00DD5859" w:rsidRPr="00D006CF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570" w:type="dxa"/>
            <w:shd w:val="clear" w:color="auto" w:fill="auto"/>
          </w:tcPr>
          <w:p w:rsidR="00DD5859" w:rsidRPr="00D006CF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542" w:type="dxa"/>
            <w:shd w:val="clear" w:color="auto" w:fill="auto"/>
          </w:tcPr>
          <w:p w:rsidR="00DD5859" w:rsidRPr="00D006CF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006CF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64AF1" w:rsidRPr="00D006CF" w:rsidTr="00A945E9">
        <w:trPr>
          <w:trHeight w:val="836"/>
        </w:trPr>
        <w:tc>
          <w:tcPr>
            <w:tcW w:w="1022" w:type="dxa"/>
            <w:shd w:val="clear" w:color="auto" w:fill="auto"/>
          </w:tcPr>
          <w:p w:rsidR="00564AF1" w:rsidRPr="00D006CF" w:rsidRDefault="00564AF1" w:rsidP="009579DA">
            <w:pPr>
              <w:spacing w:before="120" w:after="11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006CF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865" w:type="dxa"/>
            <w:shd w:val="clear" w:color="auto" w:fill="auto"/>
          </w:tcPr>
          <w:p w:rsidR="00564AF1" w:rsidRPr="00D006CF" w:rsidRDefault="00BD4ACF" w:rsidP="009579DA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006C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2" w:type="dxa"/>
            <w:shd w:val="clear" w:color="auto" w:fill="auto"/>
          </w:tcPr>
          <w:p w:rsidR="00564AF1" w:rsidRPr="00D006CF" w:rsidRDefault="00564AF1" w:rsidP="009579DA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D006CF">
              <w:rPr>
                <w:rFonts w:cs="Tahoma"/>
                <w:cs/>
                <w:lang w:bidi="th-TH"/>
              </w:rPr>
              <w:t>ประเภทการจัดชั้นสินเชื่อ</w:t>
            </w:r>
          </w:p>
        </w:tc>
        <w:tc>
          <w:tcPr>
            <w:tcW w:w="1570" w:type="dxa"/>
            <w:shd w:val="clear" w:color="auto" w:fill="auto"/>
          </w:tcPr>
          <w:p w:rsidR="00564AF1" w:rsidRPr="00D006CF" w:rsidRDefault="00D006CF" w:rsidP="00D006CF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D006CF"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10542" w:type="dxa"/>
            <w:shd w:val="clear" w:color="auto" w:fill="auto"/>
          </w:tcPr>
          <w:p w:rsidR="00564AF1" w:rsidRPr="00D006CF" w:rsidRDefault="00564AF1" w:rsidP="009579DA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spacing w:val="-4"/>
                <w:u w:val="single"/>
                <w:lang w:bidi="th-TH"/>
              </w:rPr>
            </w:pP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cs/>
                <w:lang w:bidi="th-TH"/>
              </w:rPr>
              <w:t xml:space="preserve">เพิ่ม </w:t>
            </w: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lang w:bidi="th-TH"/>
              </w:rPr>
              <w:t xml:space="preserve">Classification Value </w:t>
            </w: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cs/>
                <w:lang w:bidi="th-TH"/>
              </w:rPr>
              <w:t xml:space="preserve">และ </w:t>
            </w: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lang w:bidi="th-TH"/>
              </w:rPr>
              <w:t>Description</w:t>
            </w:r>
          </w:p>
          <w:p w:rsidR="00564AF1" w:rsidRPr="00D006CF" w:rsidRDefault="00564AF1" w:rsidP="00550A5F">
            <w:pPr>
              <w:pStyle w:val="TableText"/>
              <w:numPr>
                <w:ilvl w:val="0"/>
                <w:numId w:val="16"/>
              </w:numPr>
              <w:spacing w:line="360" w:lineRule="auto"/>
              <w:rPr>
                <w:rFonts w:cs="Tahoma"/>
                <w:color w:val="FF0000"/>
                <w:spacing w:val="-4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>Classification Value: Performing</w:t>
            </w:r>
          </w:p>
          <w:p w:rsidR="00564AF1" w:rsidRPr="00D006CF" w:rsidRDefault="00564AF1" w:rsidP="00550A5F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</w:rPr>
              <w:t xml:space="preserve">Description: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สินเชื่อที่ไม่มีการเพิ่มขึ้นอย่างมีนัยสำคัญของความเสี่ยง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  <w:p w:rsidR="00564AF1" w:rsidRPr="00D006CF" w:rsidRDefault="00564AF1" w:rsidP="00550A5F">
            <w:pPr>
              <w:pStyle w:val="TableText"/>
              <w:numPr>
                <w:ilvl w:val="0"/>
                <w:numId w:val="16"/>
              </w:numPr>
              <w:spacing w:line="360" w:lineRule="auto"/>
              <w:rPr>
                <w:rFonts w:cs="Tahoma"/>
                <w:color w:val="FF0000"/>
                <w:spacing w:val="-4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>Classification Value: Under-performing</w:t>
            </w:r>
          </w:p>
          <w:p w:rsidR="00564AF1" w:rsidRPr="00D006CF" w:rsidRDefault="00564AF1" w:rsidP="00550A5F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</w:rPr>
              <w:t xml:space="preserve">Description: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สินเชื่อที่มีการเพิ่มขึ้นอย่างมีนัยสำคัญของความเสี่ยง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  <w:p w:rsidR="00564AF1" w:rsidRPr="00D006CF" w:rsidRDefault="00564AF1" w:rsidP="00550A5F">
            <w:pPr>
              <w:pStyle w:val="TableText"/>
              <w:numPr>
                <w:ilvl w:val="0"/>
                <w:numId w:val="16"/>
              </w:numPr>
              <w:spacing w:line="360" w:lineRule="auto"/>
              <w:rPr>
                <w:rFonts w:cs="Tahoma"/>
                <w:color w:val="FF0000"/>
                <w:spacing w:val="-4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>Classification Value: Non-performing</w:t>
            </w:r>
          </w:p>
          <w:p w:rsidR="00564AF1" w:rsidRPr="00D006CF" w:rsidRDefault="00564AF1" w:rsidP="00550A5F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</w:rPr>
              <w:t xml:space="preserve">Description: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สินเชื่อที่มีการด้อยค่าด้านเครดิต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  <w:p w:rsidR="00564AF1" w:rsidRPr="00D006CF" w:rsidRDefault="00564AF1" w:rsidP="00550A5F">
            <w:pPr>
              <w:pStyle w:val="TableText"/>
              <w:numPr>
                <w:ilvl w:val="0"/>
                <w:numId w:val="16"/>
              </w:numPr>
              <w:spacing w:line="360" w:lineRule="auto"/>
              <w:rPr>
                <w:rFonts w:cs="Tahoma"/>
                <w:color w:val="FF0000"/>
                <w:spacing w:val="-4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>Classification Value: POCI</w:t>
            </w:r>
          </w:p>
          <w:p w:rsidR="00FC1A92" w:rsidRPr="00D006CF" w:rsidRDefault="00564AF1" w:rsidP="004939D1">
            <w:pPr>
              <w:pStyle w:val="TableText"/>
              <w:spacing w:line="360" w:lineRule="auto"/>
              <w:ind w:left="720"/>
              <w:rPr>
                <w:rFonts w:cs="Tahoma"/>
                <w:color w:val="00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</w:rPr>
              <w:t xml:space="preserve">Description: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สินเชื่อที่มีการด้อยค่าด้านเครดิตเมื่อเริ่มแรกที่ซื้อหรือได้มาตามประกาศธนาคารแห่งประเทศไทยว่าด้วยหลักเกณฑ์การจัดชั้นและการกันเงินสำรองของสถาบันการเงิน</w:t>
            </w:r>
          </w:p>
          <w:p w:rsidR="00FC1A92" w:rsidRPr="00D006CF" w:rsidRDefault="00150C08" w:rsidP="00550A5F">
            <w:pPr>
              <w:pStyle w:val="TableText"/>
              <w:numPr>
                <w:ilvl w:val="0"/>
                <w:numId w:val="16"/>
              </w:numPr>
              <w:spacing w:line="360" w:lineRule="auto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>Classification Value: Loan at FVTPL</w:t>
            </w:r>
          </w:p>
          <w:p w:rsidR="004939D1" w:rsidRPr="00D006CF" w:rsidRDefault="00FC1A92" w:rsidP="004939D1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color w:val="FF0000"/>
                <w:spacing w:val="-4"/>
                <w:lang w:bidi="th-TH"/>
              </w:rPr>
              <w:t xml:space="preserve">Description: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สินเชื่อที่วัดมูลค่าด้วยมูลค่ายุติธรรมผ่านกำไรหรือขาดทุน</w:t>
            </w:r>
          </w:p>
          <w:p w:rsidR="009579DA" w:rsidRPr="00D006CF" w:rsidRDefault="009579DA" w:rsidP="004939D1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</w:p>
          <w:p w:rsidR="009579DA" w:rsidRPr="00D006CF" w:rsidRDefault="009579DA" w:rsidP="004939D1">
            <w:pPr>
              <w:pStyle w:val="TableText"/>
              <w:spacing w:line="360" w:lineRule="auto"/>
              <w:ind w:left="720"/>
              <w:rPr>
                <w:rFonts w:cs="Tahoma"/>
                <w:color w:val="FF0000"/>
                <w:spacing w:val="-4"/>
                <w:lang w:bidi="th-TH"/>
              </w:rPr>
            </w:pPr>
          </w:p>
          <w:p w:rsidR="00564AF1" w:rsidRPr="00D006CF" w:rsidRDefault="00564AF1" w:rsidP="009579DA">
            <w:pPr>
              <w:pStyle w:val="TableText"/>
              <w:spacing w:before="120" w:line="360" w:lineRule="auto"/>
              <w:rPr>
                <w:rFonts w:cs="Tahoma"/>
                <w:color w:val="FF0000"/>
                <w:spacing w:val="-4"/>
                <w:lang w:bidi="th-TH"/>
              </w:rPr>
            </w:pP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cs/>
                <w:lang w:bidi="th-TH"/>
              </w:rPr>
              <w:lastRenderedPageBreak/>
              <w:t xml:space="preserve">เพิ่ม </w:t>
            </w:r>
            <w:r w:rsidRPr="00D006CF">
              <w:rPr>
                <w:rFonts w:cs="Tahoma"/>
                <w:b/>
                <w:bCs/>
                <w:color w:val="000000"/>
                <w:spacing w:val="-4"/>
                <w:u w:val="single"/>
                <w:lang w:bidi="th-TH"/>
              </w:rPr>
              <w:t>View</w:t>
            </w:r>
          </w:p>
          <w:p w:rsidR="00564AF1" w:rsidRPr="00D006CF" w:rsidRDefault="003707CC" w:rsidP="00550A5F">
            <w:pPr>
              <w:pStyle w:val="TableText"/>
              <w:spacing w:line="360" w:lineRule="auto"/>
              <w:rPr>
                <w:rFonts w:cs="Tahoma"/>
                <w:color w:val="000000"/>
                <w:cs/>
                <w:lang w:bidi="th-TH"/>
              </w:rPr>
            </w:pPr>
            <w:r w:rsidRPr="00D006CF">
              <w:rPr>
                <w:rFonts w:cs="Tahoma"/>
                <w:color w:val="000000"/>
                <w:spacing w:val="-4"/>
                <w:cs/>
                <w:lang w:bidi="th-TH"/>
              </w:rPr>
              <w:t xml:space="preserve">     </w:t>
            </w:r>
            <w:r w:rsidR="00564AF1" w:rsidRPr="00D006CF">
              <w:rPr>
                <w:rFonts w:cs="Tahoma"/>
                <w:color w:val="FF0000"/>
                <w:spacing w:val="-4"/>
                <w:cs/>
                <w:lang w:bidi="th-TH"/>
              </w:rPr>
              <w:t xml:space="preserve">เพิ่ม </w:t>
            </w:r>
            <w:r w:rsidR="00564AF1" w:rsidRPr="00D006CF">
              <w:rPr>
                <w:rFonts w:cs="Tahoma"/>
                <w:color w:val="FF0000"/>
                <w:spacing w:val="-4"/>
                <w:lang w:bidi="th-TH"/>
              </w:rPr>
              <w:t>View</w:t>
            </w:r>
            <w:r w:rsidRPr="00D006CF">
              <w:rPr>
                <w:rFonts w:cs="Tahoma"/>
                <w:color w:val="FF0000"/>
                <w:spacing w:val="-4"/>
                <w:lang w:bidi="th-TH"/>
              </w:rPr>
              <w:t xml:space="preserve"> </w:t>
            </w:r>
            <w:r w:rsidR="00D006CF" w:rsidRPr="00D006CF">
              <w:rPr>
                <w:rFonts w:cs="Tahoma"/>
                <w:color w:val="FF0000"/>
                <w:spacing w:val="-4"/>
                <w:cs/>
                <w:lang w:bidi="th-TH"/>
              </w:rPr>
              <w:t>และ</w:t>
            </w:r>
            <w:r w:rsidR="00B0397C" w:rsidRPr="00D006CF">
              <w:rPr>
                <w:rFonts w:cs="Tahoma"/>
                <w:color w:val="FF0000"/>
                <w:spacing w:val="-4"/>
                <w:cs/>
                <w:lang w:bidi="th-TH"/>
              </w:rPr>
              <w:t>เครื่องหมาย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 xml:space="preserve"> </w:t>
            </w:r>
            <w:r w:rsidRPr="00D006CF">
              <w:rPr>
                <w:rFonts w:cs="Tahoma"/>
                <w:color w:val="FF0000"/>
                <w:spacing w:val="-4"/>
                <w:lang w:bidi="th-TH"/>
              </w:rPr>
              <w:t xml:space="preserve">“X” </w:t>
            </w:r>
            <w:r w:rsidRPr="00D006CF">
              <w:rPr>
                <w:rFonts w:cs="Tahoma"/>
                <w:color w:val="FF0000"/>
                <w:spacing w:val="-4"/>
                <w:cs/>
                <w:lang w:bidi="th-TH"/>
              </w:rPr>
              <w:t>ที่</w:t>
            </w:r>
            <w:r w:rsidR="00D006CF" w:rsidRPr="00D006CF">
              <w:rPr>
                <w:rFonts w:cs="Tahoma"/>
                <w:color w:val="FF0000"/>
                <w:spacing w:val="-4"/>
                <w:cs/>
                <w:lang w:bidi="th-TH"/>
              </w:rPr>
              <w:t>คอลัมน์</w:t>
            </w:r>
            <w:r w:rsidR="00564AF1" w:rsidRPr="00D006CF">
              <w:rPr>
                <w:rFonts w:cs="Tahoma"/>
                <w:color w:val="FF0000"/>
                <w:spacing w:val="-4"/>
                <w:lang w:bidi="th-TH"/>
              </w:rPr>
              <w:t xml:space="preserve"> V_</w:t>
            </w:r>
            <w:r w:rsidR="00A84404" w:rsidRPr="00D006CF">
              <w:rPr>
                <w:rFonts w:cs="Tahoma"/>
                <w:color w:val="FF0000"/>
                <w:spacing w:val="-4"/>
                <w:lang w:bidi="th-TH"/>
              </w:rPr>
              <w:t>FILTV</w:t>
            </w:r>
            <w:r w:rsidR="00D006CF" w:rsidRPr="00D006CF">
              <w:rPr>
                <w:rFonts w:cs="Tahoma"/>
                <w:color w:val="FF0000"/>
                <w:spacing w:val="-4"/>
                <w:lang w:bidi="th-TH"/>
              </w:rPr>
              <w:t xml:space="preserve"> </w:t>
            </w:r>
            <w:r w:rsidR="00D006CF" w:rsidRPr="00D006CF">
              <w:rPr>
                <w:rFonts w:cs="Tahoma"/>
                <w:color w:val="FF0000"/>
                <w:spacing w:val="-4"/>
                <w:cs/>
                <w:lang w:bidi="th-TH"/>
              </w:rPr>
              <w:t>และ</w:t>
            </w:r>
            <w:r w:rsidR="00564AF1" w:rsidRPr="00D006CF">
              <w:rPr>
                <w:rFonts w:cs="Tahoma"/>
                <w:color w:val="FF0000"/>
                <w:spacing w:val="-4"/>
                <w:lang w:bidi="th-TH"/>
              </w:rPr>
              <w:t xml:space="preserve"> V_SFI</w:t>
            </w:r>
            <w:r w:rsidR="00A84404" w:rsidRPr="00D006CF">
              <w:rPr>
                <w:rFonts w:cs="Tahoma"/>
                <w:color w:val="FF0000"/>
                <w:spacing w:val="-4"/>
                <w:lang w:bidi="th-TH"/>
              </w:rPr>
              <w:t>LTV</w:t>
            </w:r>
            <w:r w:rsidRPr="00D006CF">
              <w:rPr>
                <w:rFonts w:cs="Tahoma"/>
                <w:color w:val="FF0000"/>
                <w:lang w:bidi="th-TH"/>
              </w:rPr>
              <w:t xml:space="preserve"> </w:t>
            </w:r>
          </w:p>
        </w:tc>
      </w:tr>
    </w:tbl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rPr>
          <w:rFonts w:ascii="Tahoma" w:hAnsi="Tahoma" w:cs="Tahoma"/>
          <w:sz w:val="20"/>
          <w:szCs w:val="20"/>
        </w:rPr>
      </w:pPr>
    </w:p>
    <w:p w:rsidR="004939D1" w:rsidRPr="00D006CF" w:rsidRDefault="004939D1" w:rsidP="004939D1">
      <w:pPr>
        <w:tabs>
          <w:tab w:val="left" w:pos="6863"/>
        </w:tabs>
        <w:rPr>
          <w:rFonts w:ascii="Tahoma" w:hAnsi="Tahoma" w:cs="Tahoma"/>
          <w:sz w:val="20"/>
          <w:szCs w:val="20"/>
        </w:rPr>
      </w:pPr>
      <w:r w:rsidRPr="00D006CF">
        <w:rPr>
          <w:rFonts w:ascii="Tahoma" w:hAnsi="Tahoma" w:cs="Tahoma"/>
          <w:sz w:val="20"/>
          <w:szCs w:val="20"/>
        </w:rPr>
        <w:tab/>
      </w:r>
    </w:p>
    <w:sectPr w:rsidR="004939D1" w:rsidRPr="00D006CF" w:rsidSect="004939D1">
      <w:headerReference w:type="default" r:id="rId12"/>
      <w:footerReference w:type="default" r:id="rId13"/>
      <w:pgSz w:w="16834" w:h="11909" w:orient="landscape" w:code="9"/>
      <w:pgMar w:top="1584" w:right="1152" w:bottom="576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AA4" w:rsidRDefault="00010AA4">
      <w:r>
        <w:separator/>
      </w:r>
    </w:p>
  </w:endnote>
  <w:endnote w:type="continuationSeparator" w:id="0">
    <w:p w:rsidR="00010AA4" w:rsidRDefault="0001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8408B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8408B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322D72">
      <w:rPr>
        <w:rFonts w:ascii="Tahoma" w:hAnsi="Tahoma" w:cs="Tahoma"/>
        <w:sz w:val="20"/>
        <w:szCs w:val="20"/>
      </w:rPr>
      <w:t>LTV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3707CC">
      <w:rPr>
        <w:rFonts w:ascii="Tahoma" w:hAnsi="Tahoma" w:cs="Tahom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AA4" w:rsidRDefault="00010AA4">
      <w:r>
        <w:separator/>
      </w:r>
    </w:p>
  </w:footnote>
  <w:footnote w:type="continuationSeparator" w:id="0">
    <w:p w:rsidR="00010AA4" w:rsidRDefault="00010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73D4F"/>
    <w:multiLevelType w:val="hybridMultilevel"/>
    <w:tmpl w:val="ADEA8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5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14"/>
  </w:num>
  <w:num w:numId="11">
    <w:abstractNumId w:val="7"/>
  </w:num>
  <w:num w:numId="12">
    <w:abstractNumId w:val="15"/>
  </w:num>
  <w:num w:numId="13">
    <w:abstractNumId w:val="4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0AA4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C7B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0C08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07CC"/>
    <w:rsid w:val="00372806"/>
    <w:rsid w:val="00375C4A"/>
    <w:rsid w:val="00380B74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39D1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0A5F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64AF1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8B8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94F74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47FAE"/>
    <w:rsid w:val="009579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4404"/>
    <w:rsid w:val="00A85A27"/>
    <w:rsid w:val="00A86CF2"/>
    <w:rsid w:val="00A90861"/>
    <w:rsid w:val="00A933B4"/>
    <w:rsid w:val="00A945E9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397C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ACF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06CF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5A66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1A9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7136EEE-268B-4544-AC58-C791DE3E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ขวัญเนตร จิตรวัฒนาฤกษ์</cp:lastModifiedBy>
  <cp:revision>30</cp:revision>
  <cp:lastPrinted>2019-03-22T02:55:00Z</cp:lastPrinted>
  <dcterms:created xsi:type="dcterms:W3CDTF">2019-03-11T13:39:00Z</dcterms:created>
  <dcterms:modified xsi:type="dcterms:W3CDTF">2019-11-15T04:47:00Z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