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CF366B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:rsidR="00F47D82" w:rsidRPr="00CF366B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CF366B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CF366B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CF366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CF366B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CF366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CF366B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CF366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CF366B">
        <w:rPr>
          <w:rFonts w:cs="Tahoma"/>
          <w:color w:val="000000" w:themeColor="text1"/>
          <w:sz w:val="56"/>
          <w:szCs w:val="56"/>
        </w:rPr>
        <w:t>for</w:t>
      </w:r>
    </w:p>
    <w:p w:rsidR="000108A0" w:rsidRPr="00CF366B" w:rsidRDefault="00A2455D" w:rsidP="00746B9B">
      <w:pPr>
        <w:pStyle w:val="Sub-block"/>
        <w:spacing w:line="440" w:lineRule="exact"/>
        <w:ind w:left="0"/>
        <w:jc w:val="center"/>
        <w:rPr>
          <w:rFonts w:cs="Tahoma"/>
          <w:color w:val="000000" w:themeColor="text1"/>
          <w:sz w:val="24"/>
          <w:szCs w:val="24"/>
          <w:cs/>
          <w:lang w:bidi="th-TH"/>
        </w:rPr>
      </w:pPr>
      <w:r w:rsidRPr="00CF366B">
        <w:rPr>
          <w:rFonts w:cs="Tahoma"/>
          <w:color w:val="000000" w:themeColor="text1"/>
          <w:sz w:val="56"/>
          <w:szCs w:val="56"/>
          <w:cs/>
          <w:lang w:bidi="th-TH"/>
        </w:rPr>
        <w:t>ชุดข้อมูล</w:t>
      </w:r>
      <w:r w:rsidR="00DB44AF" w:rsidRPr="00CF366B">
        <w:rPr>
          <w:rFonts w:cs="Tahoma"/>
          <w:sz w:val="56"/>
          <w:szCs w:val="56"/>
          <w:cs/>
          <w:lang w:bidi="th-TH"/>
        </w:rPr>
        <w:t>สินเชื่อที่มีที่อยู่อาศัยเป็นหลักประกัน</w:t>
      </w:r>
      <w:r w:rsidR="00DB44AF" w:rsidRPr="00CF366B">
        <w:rPr>
          <w:rFonts w:cs="Tahoma"/>
          <w:sz w:val="72"/>
          <w:szCs w:val="72"/>
        </w:rPr>
        <w:t xml:space="preserve"> </w:t>
      </w:r>
      <w:r w:rsidR="000108A0" w:rsidRPr="00CF366B">
        <w:rPr>
          <w:rFonts w:cs="Tahoma"/>
          <w:color w:val="000000" w:themeColor="text1"/>
        </w:rPr>
        <w:br w:type="page"/>
      </w:r>
    </w:p>
    <w:p w:rsidR="00746B9B" w:rsidRPr="00CF366B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CF366B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CF366B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CF366B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CF366B" w:rsidTr="009D7129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Revision marks</w:t>
            </w:r>
          </w:p>
        </w:tc>
      </w:tr>
      <w:tr w:rsidR="007F4669" w:rsidRPr="00CF366B" w:rsidTr="003D3E29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7F4669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</w:rPr>
            </w:pPr>
            <w:r w:rsidRPr="00CF366B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E65AC5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CF366B">
              <w:rPr>
                <w:rFonts w:cs="Tahoma"/>
                <w:i w:val="0"/>
                <w:iCs w:val="0"/>
                <w:color w:val="000000" w:themeColor="text1"/>
              </w:rPr>
              <w:t>28</w:t>
            </w:r>
            <w:r w:rsidR="007F4669" w:rsidRPr="00CF366B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8A692C" w:rsidP="003D3E2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CF366B">
              <w:rPr>
                <w:rFonts w:cs="Tahoma"/>
                <w:color w:val="000000" w:themeColor="text1"/>
              </w:rPr>
              <w:t>1 April</w:t>
            </w:r>
            <w:r w:rsidR="007F4669" w:rsidRPr="00CF366B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7F4669" w:rsidP="003D3E29">
            <w:pPr>
              <w:pStyle w:val="TableText"/>
              <w:spacing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F4669" w:rsidRPr="00CF366B" w:rsidRDefault="007F4669" w:rsidP="003D3E2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</w:rPr>
              <w:t>No</w:t>
            </w:r>
          </w:p>
        </w:tc>
      </w:tr>
      <w:tr w:rsidR="00711758" w:rsidRPr="00CF366B" w:rsidTr="003D3E29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</w:rPr>
            </w:pPr>
            <w:r w:rsidRPr="00CF366B"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183606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bookmarkStart w:id="0" w:name="_GoBack"/>
            <w:bookmarkEnd w:id="0"/>
            <w:r w:rsidR="00711758" w:rsidRPr="003D3E2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3D3E29" w:rsidRPr="003D3E29">
              <w:rPr>
                <w:rFonts w:cs="Tahoma"/>
                <w:i w:val="0"/>
                <w:iCs w:val="0"/>
                <w:color w:val="000000" w:themeColor="text1"/>
              </w:rPr>
              <w:t>November</w:t>
            </w:r>
            <w:r w:rsidR="00711758" w:rsidRPr="003D3E29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3D3E2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CF366B">
              <w:rPr>
                <w:rFonts w:cs="Tahoma"/>
                <w:color w:val="000000" w:themeColor="text1"/>
              </w:rPr>
              <w:t>1 April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DF3583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“Summary of Change on MGL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711758" w:rsidRPr="00CF366B" w:rsidRDefault="00711758" w:rsidP="003D3E29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</w:p>
          <w:p w:rsidR="00711758" w:rsidRPr="00CF366B" w:rsidRDefault="00711758" w:rsidP="003D3E29">
            <w:pPr>
              <w:pStyle w:val="TableText"/>
              <w:spacing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This document, “MGL Classification Document </w:t>
            </w:r>
            <w:proofErr w:type="gramStart"/>
            <w:r w:rsidRPr="00CF366B">
              <w:rPr>
                <w:rFonts w:cs="Tahoma"/>
              </w:rPr>
              <w:t>version</w:t>
            </w:r>
            <w:r w:rsidRPr="00CF366B">
              <w:rPr>
                <w:rFonts w:cs="Tahoma"/>
                <w:rtl/>
                <w:cs/>
              </w:rPr>
              <w:t>1.1</w:t>
            </w:r>
            <w:r w:rsidRPr="00CF366B">
              <w:rPr>
                <w:rFonts w:cs="Tahoma"/>
                <w:rtl/>
              </w:rPr>
              <w:t xml:space="preserve"> </w:t>
            </w:r>
            <w:r w:rsidRPr="00CF366B">
              <w:rPr>
                <w:rFonts w:cs="Tahoma"/>
              </w:rPr>
              <w:t>”</w:t>
            </w:r>
            <w:proofErr w:type="gramEnd"/>
            <w:r w:rsidRPr="00CF366B">
              <w:rPr>
                <w:rFonts w:cs="Tahoma"/>
              </w:rPr>
              <w:t>, is designed to be used with “</w:t>
            </w:r>
            <w:r w:rsidR="00CF366B" w:rsidRPr="00CF366B">
              <w:rPr>
                <w:rFonts w:cs="Tahoma"/>
              </w:rPr>
              <w:t>MGL Data Set Manual version 1.4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 xml:space="preserve">“MGL Data Set Document version </w:t>
            </w:r>
            <w:r w:rsidR="00CF366B" w:rsidRPr="00CF366B">
              <w:rPr>
                <w:rFonts w:cs="Tahoma"/>
                <w:rtl/>
                <w:cs/>
              </w:rPr>
              <w:t>1.</w:t>
            </w:r>
            <w:r w:rsidR="00CF366B" w:rsidRPr="00CF366B">
              <w:rPr>
                <w:rFonts w:cs="Tahoma"/>
                <w:rtl/>
              </w:rPr>
              <w:t>4</w:t>
            </w:r>
            <w:r w:rsidRPr="00CF366B">
              <w:rPr>
                <w:rFonts w:cs="Tahoma"/>
              </w:rPr>
              <w:t>”. In addition, other supporting document is “</w:t>
            </w:r>
            <w:r w:rsidRPr="00CF366B">
              <w:rPr>
                <w:rFonts w:cs="Tahoma"/>
                <w:cs/>
                <w:lang w:bidi="th-TH"/>
              </w:rPr>
              <w:t>รหัสที่ตั้ง</w:t>
            </w:r>
            <w:r w:rsidRPr="00CF366B">
              <w:rPr>
                <w:rFonts w:cs="Tahoma"/>
              </w:rPr>
              <w:t> (Location Code).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3D3E2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F4669" w:rsidRPr="00CF366B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0108A0" w:rsidRPr="00CF366B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CF366B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CF366B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CF366B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CF366B" w:rsidRPr="00CF366B" w:rsidRDefault="009748DC">
      <w:pPr>
        <w:pStyle w:val="TOC1"/>
        <w:rPr>
          <w:rFonts w:eastAsiaTheme="minorEastAsia"/>
          <w:b w:val="0"/>
          <w:bCs w:val="0"/>
          <w:caps w:val="0"/>
        </w:rPr>
      </w:pPr>
      <w:r w:rsidRPr="00CF366B">
        <w:rPr>
          <w:rStyle w:val="Hyperlink"/>
          <w:caps w:val="0"/>
          <w:color w:val="000000" w:themeColor="text1"/>
        </w:rPr>
        <w:fldChar w:fldCharType="begin"/>
      </w:r>
      <w:r w:rsidRPr="00CF366B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CF366B">
        <w:rPr>
          <w:rStyle w:val="Hyperlink"/>
          <w:caps w:val="0"/>
          <w:color w:val="000000" w:themeColor="text1"/>
        </w:rPr>
        <w:fldChar w:fldCharType="separate"/>
      </w:r>
      <w:hyperlink w:anchor="_Toc22642210" w:history="1">
        <w:r w:rsidR="00CF366B" w:rsidRPr="00CF366B">
          <w:rPr>
            <w:rStyle w:val="Hyperlink"/>
          </w:rPr>
          <w:t>1.</w:t>
        </w:r>
        <w:r w:rsidR="00CF366B" w:rsidRPr="00CF366B">
          <w:rPr>
            <w:rFonts w:eastAsiaTheme="minorEastAsia"/>
            <w:b w:val="0"/>
            <w:bCs w:val="0"/>
            <w:caps w:val="0"/>
          </w:rPr>
          <w:tab/>
        </w:r>
        <w:r w:rsidR="00CF366B" w:rsidRPr="00CF366B">
          <w:rPr>
            <w:rStyle w:val="Hyperlink"/>
          </w:rPr>
          <w:t>Building Code</w:t>
        </w:r>
        <w:r w:rsidR="00CF366B" w:rsidRPr="00CF366B">
          <w:rPr>
            <w:webHidden/>
          </w:rPr>
          <w:tab/>
        </w:r>
        <w:r w:rsidR="00CF366B" w:rsidRPr="00CF366B">
          <w:rPr>
            <w:rStyle w:val="Hyperlink"/>
          </w:rPr>
          <w:fldChar w:fldCharType="begin"/>
        </w:r>
        <w:r w:rsidR="00CF366B" w:rsidRPr="00CF366B">
          <w:rPr>
            <w:webHidden/>
          </w:rPr>
          <w:instrText xml:space="preserve"> PAGEREF _Toc22642210 \h </w:instrText>
        </w:r>
        <w:r w:rsidR="00CF366B" w:rsidRPr="00CF366B">
          <w:rPr>
            <w:rStyle w:val="Hyperlink"/>
          </w:rPr>
        </w:r>
        <w:r w:rsidR="00CF366B" w:rsidRPr="00CF366B">
          <w:rPr>
            <w:rStyle w:val="Hyperlink"/>
          </w:rPr>
          <w:fldChar w:fldCharType="separate"/>
        </w:r>
        <w:r w:rsidR="00DF3583">
          <w:rPr>
            <w:webHidden/>
          </w:rPr>
          <w:t>4</w:t>
        </w:r>
        <w:r w:rsidR="00CF366B" w:rsidRPr="00CF366B">
          <w:rPr>
            <w:rStyle w:val="Hyperlink"/>
          </w:rPr>
          <w:fldChar w:fldCharType="end"/>
        </w:r>
      </w:hyperlink>
    </w:p>
    <w:p w:rsidR="00CF366B" w:rsidRPr="00CF366B" w:rsidRDefault="00183606">
      <w:pPr>
        <w:pStyle w:val="TOC1"/>
        <w:rPr>
          <w:rFonts w:eastAsiaTheme="minorEastAsia"/>
          <w:b w:val="0"/>
          <w:bCs w:val="0"/>
          <w:caps w:val="0"/>
          <w:color w:val="0000FE"/>
        </w:rPr>
      </w:pPr>
      <w:hyperlink w:anchor="_Toc22642211" w:history="1">
        <w:r w:rsidR="00CF366B" w:rsidRPr="00CF366B">
          <w:rPr>
            <w:rStyle w:val="Hyperlink"/>
            <w:color w:val="0000FE"/>
          </w:rPr>
          <w:t>2.</w:t>
        </w:r>
        <w:r w:rsidR="00CF366B" w:rsidRPr="00CF366B">
          <w:rPr>
            <w:rFonts w:eastAsiaTheme="minorEastAsia"/>
            <w:b w:val="0"/>
            <w:bCs w:val="0"/>
            <w:caps w:val="0"/>
            <w:color w:val="0000FE"/>
          </w:rPr>
          <w:tab/>
        </w:r>
        <w:r w:rsidR="00CF366B" w:rsidRPr="00CF366B">
          <w:rPr>
            <w:rStyle w:val="Hyperlink"/>
            <w:color w:val="0000FE"/>
          </w:rPr>
          <w:t>Decorated</w:t>
        </w:r>
        <w:r w:rsidR="00CF366B" w:rsidRPr="00CF366B">
          <w:rPr>
            <w:webHidden/>
            <w:color w:val="0000FE"/>
          </w:rPr>
          <w:tab/>
        </w:r>
        <w:r w:rsidR="00CF366B" w:rsidRPr="00CF366B">
          <w:rPr>
            <w:rStyle w:val="Hyperlink"/>
            <w:color w:val="0000FE"/>
          </w:rPr>
          <w:fldChar w:fldCharType="begin"/>
        </w:r>
        <w:r w:rsidR="00CF366B" w:rsidRPr="00CF366B">
          <w:rPr>
            <w:webHidden/>
            <w:color w:val="0000FE"/>
          </w:rPr>
          <w:instrText xml:space="preserve"> PAGEREF _Toc22642211 \h </w:instrText>
        </w:r>
        <w:r w:rsidR="00CF366B" w:rsidRPr="00CF366B">
          <w:rPr>
            <w:rStyle w:val="Hyperlink"/>
            <w:color w:val="0000FE"/>
          </w:rPr>
        </w:r>
        <w:r w:rsidR="00CF366B" w:rsidRPr="00CF366B">
          <w:rPr>
            <w:rStyle w:val="Hyperlink"/>
            <w:color w:val="0000FE"/>
          </w:rPr>
          <w:fldChar w:fldCharType="separate"/>
        </w:r>
        <w:r w:rsidR="00DF3583">
          <w:rPr>
            <w:webHidden/>
            <w:color w:val="0000FE"/>
          </w:rPr>
          <w:t>5</w:t>
        </w:r>
        <w:r w:rsidR="00CF366B" w:rsidRPr="00CF366B">
          <w:rPr>
            <w:rStyle w:val="Hyperlink"/>
            <w:color w:val="0000FE"/>
          </w:rPr>
          <w:fldChar w:fldCharType="end"/>
        </w:r>
      </w:hyperlink>
    </w:p>
    <w:p w:rsidR="00CF366B" w:rsidRPr="00CF366B" w:rsidRDefault="00183606">
      <w:pPr>
        <w:pStyle w:val="TOC1"/>
        <w:rPr>
          <w:rFonts w:eastAsiaTheme="minorEastAsia"/>
          <w:b w:val="0"/>
          <w:bCs w:val="0"/>
          <w:caps w:val="0"/>
        </w:rPr>
      </w:pPr>
      <w:hyperlink w:anchor="_Toc22642212" w:history="1">
        <w:r w:rsidR="00CF366B" w:rsidRPr="00CF366B">
          <w:rPr>
            <w:rStyle w:val="Hyperlink"/>
          </w:rPr>
          <w:t>3.</w:t>
        </w:r>
        <w:r w:rsidR="00CF366B" w:rsidRPr="00CF366B">
          <w:rPr>
            <w:rFonts w:eastAsiaTheme="minorEastAsia"/>
            <w:b w:val="0"/>
            <w:bCs w:val="0"/>
            <w:caps w:val="0"/>
          </w:rPr>
          <w:tab/>
        </w:r>
        <w:r w:rsidR="00CF366B" w:rsidRPr="00CF366B">
          <w:rPr>
            <w:rStyle w:val="Hyperlink"/>
          </w:rPr>
          <w:t>Developer Dummy</w:t>
        </w:r>
        <w:r w:rsidR="00CF366B" w:rsidRPr="00CF366B">
          <w:rPr>
            <w:webHidden/>
          </w:rPr>
          <w:tab/>
        </w:r>
        <w:r w:rsidR="00CF366B" w:rsidRPr="00CF366B">
          <w:rPr>
            <w:rStyle w:val="Hyperlink"/>
          </w:rPr>
          <w:fldChar w:fldCharType="begin"/>
        </w:r>
        <w:r w:rsidR="00CF366B" w:rsidRPr="00CF366B">
          <w:rPr>
            <w:webHidden/>
          </w:rPr>
          <w:instrText xml:space="preserve"> PAGEREF _Toc22642212 \h </w:instrText>
        </w:r>
        <w:r w:rsidR="00CF366B" w:rsidRPr="00CF366B">
          <w:rPr>
            <w:rStyle w:val="Hyperlink"/>
          </w:rPr>
        </w:r>
        <w:r w:rsidR="00CF366B" w:rsidRPr="00CF366B">
          <w:rPr>
            <w:rStyle w:val="Hyperlink"/>
          </w:rPr>
          <w:fldChar w:fldCharType="separate"/>
        </w:r>
        <w:r w:rsidR="00DF3583">
          <w:rPr>
            <w:webHidden/>
          </w:rPr>
          <w:t>6</w:t>
        </w:r>
        <w:r w:rsidR="00CF366B" w:rsidRPr="00CF366B">
          <w:rPr>
            <w:rStyle w:val="Hyperlink"/>
          </w:rPr>
          <w:fldChar w:fldCharType="end"/>
        </w:r>
      </w:hyperlink>
    </w:p>
    <w:p w:rsidR="00CF366B" w:rsidRPr="00CF366B" w:rsidRDefault="00183606">
      <w:pPr>
        <w:pStyle w:val="TOC1"/>
        <w:rPr>
          <w:rFonts w:eastAsiaTheme="minorEastAsia"/>
          <w:b w:val="0"/>
          <w:bCs w:val="0"/>
          <w:caps w:val="0"/>
        </w:rPr>
      </w:pPr>
      <w:hyperlink w:anchor="_Toc22642213" w:history="1">
        <w:r w:rsidR="00CF366B" w:rsidRPr="00CF366B">
          <w:rPr>
            <w:rStyle w:val="Hyperlink"/>
          </w:rPr>
          <w:t>4.</w:t>
        </w:r>
        <w:r w:rsidR="00CF366B" w:rsidRPr="00CF366B">
          <w:rPr>
            <w:rFonts w:eastAsiaTheme="minorEastAsia"/>
            <w:b w:val="0"/>
            <w:bCs w:val="0"/>
            <w:caps w:val="0"/>
          </w:rPr>
          <w:tab/>
        </w:r>
        <w:r w:rsidR="00CF366B" w:rsidRPr="00CF366B">
          <w:rPr>
            <w:rStyle w:val="Hyperlink"/>
          </w:rPr>
          <w:t>Land Ownership</w:t>
        </w:r>
        <w:r w:rsidR="00CF366B" w:rsidRPr="00CF366B">
          <w:rPr>
            <w:webHidden/>
          </w:rPr>
          <w:tab/>
        </w:r>
        <w:r w:rsidR="00CF366B" w:rsidRPr="00CF366B">
          <w:rPr>
            <w:rStyle w:val="Hyperlink"/>
          </w:rPr>
          <w:fldChar w:fldCharType="begin"/>
        </w:r>
        <w:r w:rsidR="00CF366B" w:rsidRPr="00CF366B">
          <w:rPr>
            <w:webHidden/>
          </w:rPr>
          <w:instrText xml:space="preserve"> PAGEREF _Toc22642213 \h </w:instrText>
        </w:r>
        <w:r w:rsidR="00CF366B" w:rsidRPr="00CF366B">
          <w:rPr>
            <w:rStyle w:val="Hyperlink"/>
          </w:rPr>
        </w:r>
        <w:r w:rsidR="00CF366B" w:rsidRPr="00CF366B">
          <w:rPr>
            <w:rStyle w:val="Hyperlink"/>
          </w:rPr>
          <w:fldChar w:fldCharType="separate"/>
        </w:r>
        <w:r w:rsidR="00DF3583">
          <w:rPr>
            <w:webHidden/>
          </w:rPr>
          <w:t>7</w:t>
        </w:r>
        <w:r w:rsidR="00CF366B" w:rsidRPr="00CF366B">
          <w:rPr>
            <w:rStyle w:val="Hyperlink"/>
          </w:rPr>
          <w:fldChar w:fldCharType="end"/>
        </w:r>
      </w:hyperlink>
    </w:p>
    <w:p w:rsidR="00CF366B" w:rsidRPr="00CF366B" w:rsidRDefault="00183606">
      <w:pPr>
        <w:pStyle w:val="TOC1"/>
        <w:rPr>
          <w:rFonts w:eastAsiaTheme="minorEastAsia"/>
          <w:b w:val="0"/>
          <w:bCs w:val="0"/>
          <w:caps w:val="0"/>
        </w:rPr>
      </w:pPr>
      <w:hyperlink w:anchor="_Toc22642214" w:history="1">
        <w:r w:rsidR="00CF366B" w:rsidRPr="00CF366B">
          <w:rPr>
            <w:rStyle w:val="Hyperlink"/>
          </w:rPr>
          <w:t>5.</w:t>
        </w:r>
        <w:r w:rsidR="00CF366B" w:rsidRPr="00CF366B">
          <w:rPr>
            <w:rFonts w:eastAsiaTheme="minorEastAsia"/>
            <w:b w:val="0"/>
            <w:bCs w:val="0"/>
            <w:caps w:val="0"/>
          </w:rPr>
          <w:tab/>
        </w:r>
        <w:r w:rsidR="00CF366B" w:rsidRPr="00CF366B">
          <w:rPr>
            <w:rStyle w:val="Hyperlink"/>
          </w:rPr>
          <w:t>Objective</w:t>
        </w:r>
        <w:r w:rsidR="00CF366B" w:rsidRPr="00CF366B">
          <w:rPr>
            <w:webHidden/>
          </w:rPr>
          <w:tab/>
        </w:r>
        <w:r w:rsidR="00CF366B" w:rsidRPr="00CF366B">
          <w:rPr>
            <w:rStyle w:val="Hyperlink"/>
          </w:rPr>
          <w:fldChar w:fldCharType="begin"/>
        </w:r>
        <w:r w:rsidR="00CF366B" w:rsidRPr="00CF366B">
          <w:rPr>
            <w:webHidden/>
          </w:rPr>
          <w:instrText xml:space="preserve"> PAGEREF _Toc22642214 \h </w:instrText>
        </w:r>
        <w:r w:rsidR="00CF366B" w:rsidRPr="00CF366B">
          <w:rPr>
            <w:rStyle w:val="Hyperlink"/>
          </w:rPr>
        </w:r>
        <w:r w:rsidR="00CF366B" w:rsidRPr="00CF366B">
          <w:rPr>
            <w:rStyle w:val="Hyperlink"/>
          </w:rPr>
          <w:fldChar w:fldCharType="separate"/>
        </w:r>
        <w:r w:rsidR="00DF3583">
          <w:rPr>
            <w:webHidden/>
          </w:rPr>
          <w:t>8</w:t>
        </w:r>
        <w:r w:rsidR="00CF366B" w:rsidRPr="00CF366B">
          <w:rPr>
            <w:rStyle w:val="Hyperlink"/>
          </w:rPr>
          <w:fldChar w:fldCharType="end"/>
        </w:r>
      </w:hyperlink>
    </w:p>
    <w:p w:rsidR="00CF366B" w:rsidRPr="00CF366B" w:rsidRDefault="00183606">
      <w:pPr>
        <w:pStyle w:val="TOC1"/>
        <w:rPr>
          <w:rFonts w:eastAsiaTheme="minorEastAsia"/>
          <w:b w:val="0"/>
          <w:bCs w:val="0"/>
          <w:caps w:val="0"/>
          <w:color w:val="0000FE"/>
        </w:rPr>
      </w:pPr>
      <w:hyperlink w:anchor="_Toc22642215" w:history="1">
        <w:r w:rsidR="00CF366B" w:rsidRPr="00CF366B">
          <w:rPr>
            <w:rStyle w:val="Hyperlink"/>
            <w:color w:val="0000FE"/>
          </w:rPr>
          <w:t>6.</w:t>
        </w:r>
        <w:r w:rsidR="00CF366B" w:rsidRPr="00CF366B">
          <w:rPr>
            <w:rFonts w:eastAsiaTheme="minorEastAsia"/>
            <w:b w:val="0"/>
            <w:bCs w:val="0"/>
            <w:caps w:val="0"/>
            <w:color w:val="0000FE"/>
          </w:rPr>
          <w:tab/>
        </w:r>
        <w:r w:rsidR="00CF366B" w:rsidRPr="00CF366B">
          <w:rPr>
            <w:rStyle w:val="Hyperlink"/>
            <w:color w:val="0000FE"/>
          </w:rPr>
          <w:t>Occupation Type</w:t>
        </w:r>
        <w:r w:rsidR="00CF366B" w:rsidRPr="00CF366B">
          <w:rPr>
            <w:webHidden/>
            <w:color w:val="0000FE"/>
          </w:rPr>
          <w:tab/>
        </w:r>
        <w:r w:rsidR="00CF366B" w:rsidRPr="00CF366B">
          <w:rPr>
            <w:rStyle w:val="Hyperlink"/>
            <w:color w:val="0000FE"/>
          </w:rPr>
          <w:fldChar w:fldCharType="begin"/>
        </w:r>
        <w:r w:rsidR="00CF366B" w:rsidRPr="00CF366B">
          <w:rPr>
            <w:webHidden/>
            <w:color w:val="0000FE"/>
          </w:rPr>
          <w:instrText xml:space="preserve"> PAGEREF _Toc22642215 \h </w:instrText>
        </w:r>
        <w:r w:rsidR="00CF366B" w:rsidRPr="00CF366B">
          <w:rPr>
            <w:rStyle w:val="Hyperlink"/>
            <w:color w:val="0000FE"/>
          </w:rPr>
        </w:r>
        <w:r w:rsidR="00CF366B" w:rsidRPr="00CF366B">
          <w:rPr>
            <w:rStyle w:val="Hyperlink"/>
            <w:color w:val="0000FE"/>
          </w:rPr>
          <w:fldChar w:fldCharType="separate"/>
        </w:r>
        <w:r w:rsidR="00DF3583">
          <w:rPr>
            <w:webHidden/>
            <w:color w:val="0000FE"/>
          </w:rPr>
          <w:t>11</w:t>
        </w:r>
        <w:r w:rsidR="00CF366B" w:rsidRPr="00CF366B">
          <w:rPr>
            <w:rStyle w:val="Hyperlink"/>
            <w:color w:val="0000FE"/>
          </w:rPr>
          <w:fldChar w:fldCharType="end"/>
        </w:r>
      </w:hyperlink>
    </w:p>
    <w:p w:rsidR="00224336" w:rsidRPr="00CF366B" w:rsidRDefault="009748DC" w:rsidP="00D036FF">
      <w:pPr>
        <w:rPr>
          <w:color w:val="000000" w:themeColor="text1"/>
        </w:rPr>
      </w:pPr>
      <w:r w:rsidRPr="00CF366B"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CF366B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36639632"/>
            <w:bookmarkStart w:id="2" w:name="_Toc22642210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Building Code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CF366B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F366B">
              <w:rPr>
                <w:rFonts w:cs="Tahoma"/>
                <w:color w:val="000000" w:themeColor="text1"/>
                <w:cs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บ้านเดี่ยว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อาคารที่อยู่อาศัยหลังเดี่ยวที่ปลูกสร้างบนที่ดิน และผนังอาคารต้องติดที่ว่างทุกด้าน (นิยามตามศูนย์ข้อมูลอสังหาริมทรัพย์) (รวมบ้านทรงไทย)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F366B">
              <w:rPr>
                <w:rFonts w:cs="Tahoma"/>
                <w:color w:val="000000" w:themeColor="text1"/>
                <w:cs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บ้านแฝด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อาคารที่ใช้เป็นที่อยู่อาศัยก่อสร้างติดต่อกันสองบ้าน มีผนังแบ่งอาคารให้เป็นบ้านสองหลัง มีที่ว่างระหว่างรั้วหรือแนวเขตที่ดินกับตัวอาคารด้านหน้า ด้านหลัง และด้านข้างของแต่ละบ้านและมีทางเข้าออกของแต่ละบ้านแยกจากกันเป็นสัดส่วน (ตามกฎกระทรวงฉบับที่ 55 ออกความตาม พ.ร.บ. ควบคุมอาคาร พ.ศ. 2522)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F366B">
              <w:rPr>
                <w:rFonts w:cs="Tahoma"/>
                <w:color w:val="000000" w:themeColor="text1"/>
                <w:cs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ทาวน์</w:t>
            </w:r>
            <w:proofErr w:type="spellStart"/>
            <w:r w:rsidRPr="00CF366B">
              <w:rPr>
                <w:color w:val="000000" w:themeColor="text1"/>
                <w:cs/>
              </w:rPr>
              <w:t>เฮ้าส์</w:t>
            </w:r>
            <w:proofErr w:type="spellEnd"/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บ้านแถวที่ใช้เป็นที่อยู่อาศัย ซึ่งมีที่ว่างด้านหน้าและ ด้านหลังระหว่างรั้วหรือแนวเขตที่ดินกับตัวอาคารแต่ละคูหา และมีความสูงไม่เกิน 3 ชั้น  (ตามกฎกระทรวงฉบับที่ 55 ออกความตาม พ.ร.บ.ควบคุมอาคาร พ.ศ. 2522)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อาคารพาณิชย์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ตึกแถว ที่ก่อสร้างต่อเนื่องกันเป็นแถวยาวตั้งแต่สองคูหาขึ้นไป โดยมีผนังร่วมแบ่งอาคารเป็นคูหาและประกอบด้วยวัสดุทนไฟเป็นส่วนใหญ่ รวมถึง โฮ</w:t>
            </w:r>
            <w:proofErr w:type="spellStart"/>
            <w:r w:rsidRPr="00CF366B">
              <w:rPr>
                <w:color w:val="000000" w:themeColor="text1"/>
                <w:cs/>
              </w:rPr>
              <w:t>มออฟ</w:t>
            </w:r>
            <w:proofErr w:type="spellEnd"/>
            <w:r w:rsidRPr="00CF366B">
              <w:rPr>
                <w:color w:val="000000" w:themeColor="text1"/>
                <w:cs/>
              </w:rPr>
              <w:t>ฟิศ และทาวน์</w:t>
            </w:r>
            <w:proofErr w:type="spellStart"/>
            <w:r w:rsidRPr="00CF366B">
              <w:rPr>
                <w:color w:val="000000" w:themeColor="text1"/>
                <w:cs/>
              </w:rPr>
              <w:t>เฮ้าส์</w:t>
            </w:r>
            <w:proofErr w:type="spellEnd"/>
            <w:r w:rsidRPr="00CF366B">
              <w:rPr>
                <w:color w:val="000000" w:themeColor="text1"/>
                <w:cs/>
              </w:rPr>
              <w:t xml:space="preserve">ที่มีความสูงเกิน </w:t>
            </w:r>
            <w:r w:rsidRPr="00CF366B">
              <w:rPr>
                <w:color w:val="000000" w:themeColor="text1"/>
              </w:rPr>
              <w:t xml:space="preserve">3 </w:t>
            </w:r>
            <w:r w:rsidRPr="00CF366B">
              <w:rPr>
                <w:color w:val="000000" w:themeColor="text1"/>
                <w:cs/>
              </w:rPr>
              <w:t xml:space="preserve">ชั้น  (ตามกฎกระทรวงฉบับที่ </w:t>
            </w:r>
            <w:r w:rsidRPr="00CF366B">
              <w:rPr>
                <w:color w:val="000000" w:themeColor="text1"/>
              </w:rPr>
              <w:t xml:space="preserve">55 </w:t>
            </w:r>
            <w:r w:rsidRPr="00CF366B">
              <w:rPr>
                <w:color w:val="000000" w:themeColor="text1"/>
                <w:cs/>
              </w:rPr>
              <w:t xml:space="preserve">ออกความตาม พ.ร.บ.ควบคุมอาคาร พ.ศ. </w:t>
            </w:r>
            <w:r w:rsidRPr="00CF366B">
              <w:rPr>
                <w:color w:val="000000" w:themeColor="text1"/>
              </w:rPr>
              <w:t>2522)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ห้องชุด (รวมห้องชุดในแฟลตและอาคารชุด)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ส่วนของอาคารชุดที่แยกการถือกรรมสิทธิ์ออกได้เป็นส่วนเฉพาะของแต่ละบุคคล (ตาม  พ.ร.บ.อาคารชุด พ.ศ. </w:t>
            </w:r>
            <w:r w:rsidRPr="00CF366B">
              <w:rPr>
                <w:color w:val="000000" w:themeColor="text1"/>
              </w:rPr>
              <w:t>2522)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</w:pPr>
            <w:r w:rsidRPr="00CF366B">
              <w:rPr>
                <w:color w:val="000000" w:themeColor="text1"/>
                <w:cs/>
              </w:rPr>
              <w:t>ที่ดินเปล่า</w:t>
            </w:r>
            <w:r w:rsidRPr="00CF366B">
              <w:t>:</w:t>
            </w:r>
          </w:p>
          <w:p w:rsidR="004A5938" w:rsidRPr="00CF366B" w:rsidRDefault="004A5938" w:rsidP="0036004D">
            <w:pPr>
              <w:spacing w:line="360" w:lineRule="auto"/>
            </w:pPr>
            <w:r w:rsidRPr="00CF366B">
              <w:rPr>
                <w:cs/>
              </w:rPr>
              <w:t>ที่ดินเปล่าที่ผู้กู้นำมาใช้เป็นหลักประกัน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อื่นๆ 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เช่น สิ่งปลูกสร้างประเภทอื่น ที่ผู้กู้นำมาใช้เป็นหลักประกัน หรือ ที่อยู่อาศัยที่มีหลักประกันอื่นที่ไม่ใช่ที่อยู่อาศัยรวมอยู่ด้วย</w:t>
            </w:r>
          </w:p>
        </w:tc>
      </w:tr>
    </w:tbl>
    <w:p w:rsidR="00A656F6" w:rsidRPr="00CF366B" w:rsidRDefault="004A5938" w:rsidP="000108A0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p w:rsidR="00A656F6" w:rsidRPr="00CF366B" w:rsidRDefault="00A656F6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color w:val="000000" w:themeColor="text1"/>
              </w:rPr>
              <w:br w:type="page"/>
            </w:r>
            <w:r w:rsidRPr="00CF366B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3" w:name="_Toc536639635"/>
            <w:bookmarkStart w:id="4" w:name="_Toc22642211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Decorated</w:t>
            </w:r>
            <w:bookmarkEnd w:id="3"/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9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36004D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1</w:t>
            </w:r>
          </w:p>
        </w:tc>
        <w:tc>
          <w:tcPr>
            <w:tcW w:w="12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F77C3E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ที่อยู่อาศัย</w:t>
            </w:r>
            <w:r w:rsidR="000A6350" w:rsidRPr="00CF366B">
              <w:rPr>
                <w:color w:val="000000" w:themeColor="text1"/>
                <w:cs/>
              </w:rPr>
              <w:t>ที่</w:t>
            </w:r>
            <w:r w:rsidRPr="00CF366B">
              <w:rPr>
                <w:color w:val="000000" w:themeColor="text1"/>
                <w:cs/>
              </w:rPr>
              <w:t>ตกแต่ง</w:t>
            </w:r>
            <w:r w:rsidR="000A6350" w:rsidRPr="00CF366B">
              <w:rPr>
                <w:color w:val="000000" w:themeColor="text1"/>
                <w:cs/>
              </w:rPr>
              <w:t>แล้ว</w:t>
            </w:r>
            <w:r w:rsidR="004A5938" w:rsidRPr="00CF366B">
              <w:rPr>
                <w:color w:val="000000" w:themeColor="text1"/>
              </w:rPr>
              <w:t>:</w:t>
            </w:r>
          </w:p>
          <w:p w:rsidR="004A5938" w:rsidRPr="00CF366B" w:rsidRDefault="009434D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ที่อยู่อาศัย</w:t>
            </w:r>
            <w:r w:rsidR="004A5938" w:rsidRPr="00CF366B">
              <w:rPr>
                <w:color w:val="000000" w:themeColor="text1"/>
                <w:cs/>
              </w:rPr>
              <w:t>ที่ผู้พัฒนาอสังหาริมทรัพย์ตกแต่งเฟอร์นิเจอร์ให้ครบทุกห้อง</w:t>
            </w:r>
            <w:r w:rsidR="000A6350" w:rsidRPr="00CF366B">
              <w:rPr>
                <w:color w:val="000000" w:themeColor="text1"/>
                <w:cs/>
              </w:rPr>
              <w:t>หรือตกแต่งบางส่วน</w:t>
            </w:r>
            <w:r w:rsidR="004A5938" w:rsidRPr="00CF366B">
              <w:rPr>
                <w:color w:val="000000" w:themeColor="text1"/>
                <w:cs/>
              </w:rPr>
              <w:t xml:space="preserve"> อาจมีเครื่องใช้ไฟฟ้าด้วยหรือไม่ก็ได้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36004D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3</w:t>
            </w:r>
          </w:p>
        </w:tc>
        <w:tc>
          <w:tcPr>
            <w:tcW w:w="12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ที่อยู่อาศัย</w:t>
            </w:r>
            <w:r w:rsidRPr="00CF366B">
              <w:rPr>
                <w:color w:val="000000" w:themeColor="text1"/>
                <w:u w:val="single"/>
                <w:cs/>
              </w:rPr>
              <w:t>ที่ยัง</w:t>
            </w:r>
            <w:r w:rsidRPr="00CF366B">
              <w:rPr>
                <w:color w:val="000000" w:themeColor="text1"/>
                <w:cs/>
              </w:rPr>
              <w:t>ไม่ได้ตกแต่ง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9434D8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ที่อยู่อาศัยที่เป็นบ้านเปล่าที่มีเฉพาะชุดสุขภัณฑ์ ระบบไฟ ระบบน้ำ อาจรวมถึงระบบกำจัดปลวก แต่ไม่มีการติดตั้ง</w:t>
            </w:r>
            <w:proofErr w:type="spellStart"/>
            <w:r w:rsidRPr="00CF366B">
              <w:rPr>
                <w:color w:val="000000" w:themeColor="text1"/>
                <w:cs/>
              </w:rPr>
              <w:t>วอลเปเปอร์</w:t>
            </w:r>
            <w:proofErr w:type="spellEnd"/>
            <w:r w:rsidRPr="00CF366B">
              <w:rPr>
                <w:color w:val="000000" w:themeColor="text1"/>
                <w:cs/>
              </w:rPr>
              <w:t xml:space="preserve"> เฟอร์นิเจอร์ และเครื่องใช้ไฟฟ้า</w:t>
            </w:r>
          </w:p>
        </w:tc>
      </w:tr>
    </w:tbl>
    <w:p w:rsidR="00A656F6" w:rsidRPr="00CF366B" w:rsidRDefault="00A656F6" w:rsidP="0036004D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536639634"/>
            <w:bookmarkStart w:id="6" w:name="_Toc22642212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Developer Dummy</w:t>
            </w:r>
            <w:bookmarkEnd w:id="5"/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0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0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6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สร้างโดยบริษัทพัฒนาโครงการที่อยู่ในตลาดหลักทรัพย์ (ทั้ง </w:t>
            </w:r>
            <w:r w:rsidRPr="00CF366B">
              <w:rPr>
                <w:rFonts w:cs="Tahoma"/>
                <w:color w:val="000000" w:themeColor="text1"/>
                <w:lang w:val="en-US" w:eastAsia="en-US"/>
              </w:rPr>
              <w:t xml:space="preserve">SET </w:t>
            </w: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และ </w:t>
            </w:r>
            <w:r w:rsidRPr="00CF366B">
              <w:rPr>
                <w:rFonts w:cs="Tahoma"/>
                <w:color w:val="000000" w:themeColor="text1"/>
                <w:lang w:val="en-US" w:eastAsia="en-US"/>
              </w:rPr>
              <w:t>MAI)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สร้างโดยบริษัทพัฒนาโครงการที่อยู่นอกตลาดหลักทรัพย์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สร้างโดยผู้รับเหมาก่อสร้าง</w:t>
            </w: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p w:rsidR="004A5938" w:rsidRPr="00CF366B" w:rsidRDefault="004A5938" w:rsidP="004A5938">
      <w:pPr>
        <w:rPr>
          <w:color w:val="000000" w:themeColor="text1"/>
        </w:rPr>
      </w:pPr>
    </w:p>
    <w:p w:rsidR="004A5938" w:rsidRPr="00CF366B" w:rsidRDefault="004A5938" w:rsidP="004A5938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D036FF" w:rsidP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7" w:name="_Toc536639633"/>
            <w:bookmarkStart w:id="8" w:name="_Toc22642213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Land Ownership</w:t>
            </w:r>
            <w:bookmarkEnd w:id="7"/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9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Freehold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Leasehold</w:t>
            </w: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p w:rsidR="004A5938" w:rsidRPr="00CF366B" w:rsidRDefault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p w:rsidR="00D036FF" w:rsidRPr="00CF366B" w:rsidRDefault="00D036FF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80194" w:rsidRPr="00CF366B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CF366B" w:rsidRDefault="00280194" w:rsidP="00D43895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CF366B" w:rsidRDefault="006F2DCD" w:rsidP="006F2DCD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9" w:name="_Toc536639631"/>
            <w:bookmarkStart w:id="10" w:name="_Toc22642214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Objective</w:t>
            </w:r>
            <w:bookmarkEnd w:id="9"/>
            <w:bookmarkEnd w:id="1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CF366B" w:rsidRDefault="00280194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B0EA3" w:rsidRPr="00CF366B" w:rsidRDefault="00EB0EA3" w:rsidP="002801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0A268D" w:rsidRPr="00CF366B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A268D" w:rsidRPr="00CF366B" w:rsidRDefault="000A268D" w:rsidP="0030196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A268D" w:rsidRPr="00CF366B" w:rsidRDefault="000A268D" w:rsidP="0030196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A268D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86F0A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ซื้อที่อยู่อาศัยใหม่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บ้านจัดสรร หรือ อาคารพาณิชย์ หรือ อาคารชุด หรือ ที่อยู่อาศัยประเภทอื่นที่สร้างใหม่โดยบริษัทพัฒนาอสังหาริมทรัพย์  ไม่รวมการปรับปรุง / ต่อเติมที่อยู่อาศัย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86F0A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ซื้อที่อยู่อาศัยมือสอง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5E6291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ที่</w:t>
            </w:r>
            <w:r w:rsidR="000A268D" w:rsidRPr="00CF366B">
              <w:rPr>
                <w:color w:val="000000" w:themeColor="text1"/>
                <w:cs/>
              </w:rPr>
              <w:t>อยู่อาศัยที่มีเจ้าของอื่นเป็นกรรมสิทธิ์ รวมถึงที่อยู่อาศัยที่ผ่านการขายทอดตลาด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กู้เพื่อสร้างที่อยู่อาศัย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การสร้างที่อยู่อาศัยใหม่ รวมถึงการทุบที่อยู่อาศัยเดิมทิ้งแล้วสร้างใหม่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</w:t>
            </w:r>
            <w:r w:rsidR="0051007F" w:rsidRPr="00CF366B">
              <w:rPr>
                <w:rFonts w:cs="Tahoma"/>
                <w:color w:val="000000" w:themeColor="text1"/>
                <w:cs/>
              </w:rPr>
              <w:t xml:space="preserve"> </w:t>
            </w:r>
            <w:r w:rsidRPr="00CF366B">
              <w:rPr>
                <w:rFonts w:cs="Tahoma"/>
                <w:color w:val="000000" w:themeColor="text1"/>
                <w:cs/>
              </w:rPr>
              <w:t>/</w:t>
            </w:r>
            <w:r w:rsidR="0051007F" w:rsidRPr="00CF366B">
              <w:rPr>
                <w:rFonts w:cs="Tahoma"/>
                <w:color w:val="000000" w:themeColor="text1"/>
                <w:cs/>
              </w:rPr>
              <w:t xml:space="preserve"> </w:t>
            </w:r>
            <w:r w:rsidRPr="00CF366B">
              <w:rPr>
                <w:rFonts w:cs="Tahoma"/>
                <w:color w:val="000000" w:themeColor="text1"/>
                <w:cs/>
              </w:rPr>
              <w:t>เพื่อพัฒนาที่อยู่อาศัยขาย)</w:t>
            </w:r>
            <w:r w:rsidRPr="00CF366B">
              <w:rPr>
                <w:rFonts w:cs="Tahoma"/>
                <w:color w:val="000000" w:themeColor="text1"/>
                <w:lang w:val="en-US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ที่ดินเปล่าที่คาดว่าจะมีการสร้างที่อยู่อาศัยส่วนบุคคลในอนาคต  ไม่รวมการซื้อที่ดินเพื่อการจัดสรรหรือเพื่อพัฒนาที่อยู่อาศัยเพื่อขาย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เพื่อไถ่ถอนอสังหาริมทรัพย์จากสถาบันการเงินอื่น (</w:t>
            </w:r>
            <w:r w:rsidRPr="00CF366B">
              <w:rPr>
                <w:color w:val="000000" w:themeColor="text1"/>
              </w:rPr>
              <w:t>Refinance):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การกู้เพื่อนำไปไถ่ถอนอสังหาริมทรัพย์จากสถาบันการเงินอื่น (</w:t>
            </w:r>
            <w:r w:rsidRPr="00CF366B">
              <w:rPr>
                <w:color w:val="000000" w:themeColor="text1"/>
              </w:rPr>
              <w:t xml:space="preserve">Refinance) </w:t>
            </w:r>
            <w:r w:rsidRPr="00CF366B">
              <w:rPr>
                <w:color w:val="000000" w:themeColor="text1"/>
                <w:cs/>
              </w:rPr>
              <w:t>หมายถึง ผู้กู้รายเดิมมากู้จากสถาบันการเงินแห่งใหม่เพื่อไถ่ถอนหลักประกันและโอนภาระหนี้จากสถาบันการเงินแห่งเดิมที่ผู้กู้มีหนี้ที่อยู่อาศัยค้างชำระอยู่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CF366B">
              <w:rPr>
                <w:rFonts w:cs="Tahoma"/>
                <w:lang w:val="en-US"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BB37DE" w:rsidP="0030196F">
            <w:pPr>
              <w:spacing w:before="120" w:line="360" w:lineRule="auto"/>
            </w:pPr>
            <w:r w:rsidRPr="00CF366B">
              <w:rPr>
                <w:cs/>
              </w:rPr>
              <w:t>การอุปโภคบริโภคและอื่นๆ</w:t>
            </w:r>
            <w:r w:rsidR="000A268D" w:rsidRPr="00CF366B">
              <w:t>:</w:t>
            </w:r>
            <w:r w:rsidR="0079525B" w:rsidRPr="00CF366B">
              <w:t xml:space="preserve"> </w:t>
            </w:r>
          </w:p>
          <w:p w:rsidR="000A268D" w:rsidRPr="00CF366B" w:rsidRDefault="0068190A" w:rsidP="0036004D">
            <w:pPr>
              <w:spacing w:line="360" w:lineRule="auto"/>
              <w:rPr>
                <w:b/>
                <w:bCs/>
                <w:cs/>
              </w:rPr>
            </w:pPr>
            <w:r w:rsidRPr="00CF366B">
              <w:rPr>
                <w:cs/>
              </w:rPr>
              <w:t>การอุปโภคบริโภคและอื่นๆ</w:t>
            </w:r>
            <w:r w:rsidR="000A268D" w:rsidRPr="00CF366B">
              <w:rPr>
                <w:cs/>
              </w:rPr>
              <w:t xml:space="preserve"> เช่น การซื้อเฟอร์นิเจอร์  เครื่องใช้ไฟฟ้า  วัสดุตกแต่ง หรือสินค้าอุปโภคบริโภค เช่น รถยนต์ เป็นต้น</w:t>
            </w:r>
            <w:r w:rsidRPr="00CF366B">
              <w:t xml:space="preserve"> </w:t>
            </w:r>
            <w:r w:rsidRPr="00CF366B">
              <w:rPr>
                <w:cs/>
              </w:rPr>
              <w:t>ซึ่งมีที่อยู่อาศัยซึ่งปลอดภาระหนี้แล้วเป็นหลักประกัน</w:t>
            </w:r>
          </w:p>
          <w:p w:rsidR="000A268D" w:rsidRPr="00CF366B" w:rsidRDefault="000A268D" w:rsidP="0036004D">
            <w:pPr>
              <w:spacing w:line="360" w:lineRule="auto"/>
              <w:rPr>
                <w:cs/>
              </w:rPr>
            </w:pPr>
            <w:r w:rsidRPr="00CF366B">
              <w:rPr>
                <w:cs/>
              </w:rPr>
              <w:t>ทั้งนี้ไม่รวมการปรับปรุง / ต่อเติม / ซ่อมแซมที่อยู่อาศัย</w:t>
            </w:r>
            <w:r w:rsidR="009053CB" w:rsidRPr="00CF366B">
              <w:rPr>
                <w:cs/>
              </w:rPr>
              <w:t xml:space="preserve"> และไม่รวมสินเชื่ออื่นที่เกี่ยวเนื่องกับสินเชื่อเพื่อที่อยู่อาศัย (</w:t>
            </w:r>
            <w:r w:rsidR="009053CB" w:rsidRPr="00CF366B">
              <w:t>Top-up)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7</w:t>
            </w:r>
            <w:r w:rsidR="0079525B" w:rsidRPr="00CF366B">
              <w:rPr>
                <w:rFonts w:cs="Tahoma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เพื่อปรับปรุง / ต่อเติม / ซ่อมแซมที่อยู่อาศัย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การกู้เพื่อ ปรับปรุง / ต่อเติม </w:t>
            </w:r>
            <w:r w:rsidRPr="00CF366B">
              <w:rPr>
                <w:cs/>
              </w:rPr>
              <w:t>/ ซ่อมแซมที่อยู่อาศัย เช่น ปรับปรุงโครงสร้าง ต่อเติมส่วนขยายของอาคาร หรือ ซ่อมแซมอาคาร เป็นต้น</w:t>
            </w:r>
            <w:r w:rsidR="009053CB" w:rsidRPr="00CF366B">
              <w:rPr>
                <w:cs/>
              </w:rPr>
              <w:t xml:space="preserve"> </w:t>
            </w:r>
            <w:r w:rsidR="0068190A" w:rsidRPr="00CF366B">
              <w:rPr>
                <w:cs/>
              </w:rPr>
              <w:t xml:space="preserve">ซึ่งมีที่อยู่อาศัยซึ่งปลอดภาระหนี้แล้วเป็นหลักประกัน </w:t>
            </w:r>
            <w:r w:rsidR="009053CB" w:rsidRPr="00CF366B">
              <w:rPr>
                <w:cs/>
              </w:rPr>
              <w:t>ทั้งนี้ไม่รวมสินเชื่ออื่นที่เกี่ยวเนื่องกับสินเชื่อเพื่อที่อยู่อาศัย (</w:t>
            </w:r>
            <w:r w:rsidR="009053CB" w:rsidRPr="00CF366B">
              <w:t>Top-up)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lastRenderedPageBreak/>
              <w:t>8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เพื่อประกอบธุรกิจ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การกู้เพื่อนำไปใช้พัฒนาบริษัท</w:t>
            </w:r>
            <w:r w:rsidRPr="00CF366B">
              <w:rPr>
                <w:cs/>
              </w:rPr>
              <w:t>หรือองค์กร เช่น เงินทุนหมุนเวียน การลงทุนทำธุรกิจหรือขยายกิจการ</w:t>
            </w:r>
            <w:r w:rsidR="009053CB" w:rsidRPr="00CF366B">
              <w:t xml:space="preserve"> </w:t>
            </w:r>
            <w:r w:rsidR="005F6921" w:rsidRPr="00CF366B">
              <w:rPr>
                <w:cs/>
              </w:rPr>
              <w:t xml:space="preserve">ซึ่งมีที่อยู่อาศัยซึ่งปลอดภาระหนี้แล้วเป็นหลักประกัน </w:t>
            </w:r>
            <w:r w:rsidR="009053CB" w:rsidRPr="00CF366B">
              <w:rPr>
                <w:cs/>
              </w:rPr>
              <w:t>ทั้งนี้ไม่รวมสินเชื่ออื่นที่เกี่ยวเนื่องกับสินเชื่อเพื่อที่อยู่อาศัย (</w:t>
            </w:r>
            <w:r w:rsidR="009053CB" w:rsidRPr="00CF366B">
              <w:t>Top-up)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strike/>
                <w:lang w:val="en-US"/>
              </w:rPr>
            </w:pPr>
            <w:r w:rsidRPr="00CF366B">
              <w:rPr>
                <w:rFonts w:cs="Tahoma"/>
                <w:strike/>
                <w:lang w:val="en-US"/>
              </w:rPr>
              <w:t>9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95C64" w:rsidRPr="00CF366B" w:rsidRDefault="00F95C64" w:rsidP="00F95C64">
            <w:pPr>
              <w:spacing w:before="120" w:line="360" w:lineRule="auto"/>
            </w:pPr>
            <w:r w:rsidRPr="00CF366B">
              <w:rPr>
                <w:cs/>
              </w:rPr>
              <w:t xml:space="preserve">วงเงินกู้สำหรับค่าเบี้ยประกันที่เป็น </w:t>
            </w:r>
            <w:r w:rsidRPr="00CF366B">
              <w:t xml:space="preserve">Mortgage Default Insurance </w:t>
            </w:r>
            <w:r w:rsidRPr="00CF366B">
              <w:rPr>
                <w:cs/>
              </w:rPr>
              <w:t>และ ค่าเบี้ยประกันอื่น</w:t>
            </w:r>
            <w:r w:rsidR="0051007F" w:rsidRPr="00CF366B">
              <w:rPr>
                <w:cs/>
              </w:rPr>
              <w:t xml:space="preserve"> </w:t>
            </w:r>
            <w:r w:rsidRPr="00CF366B">
              <w:rPr>
                <w:cs/>
              </w:rPr>
              <w:t>ๆ</w:t>
            </w:r>
            <w:r w:rsidR="008A7CCE" w:rsidRPr="00CF366B">
              <w:t xml:space="preserve"> </w:t>
            </w:r>
            <w:r w:rsidR="008A7CCE" w:rsidRPr="00CF366B">
              <w:rPr>
                <w:cs/>
              </w:rPr>
              <w:t>ที่เกี่ยวเนื่องกับสินเชื่อเพื่อที่อยู่อาศัย</w:t>
            </w:r>
            <w:r w:rsidRPr="00CF366B">
              <w:t>:</w:t>
            </w:r>
          </w:p>
          <w:p w:rsidR="00F95C64" w:rsidRPr="00CF366B" w:rsidRDefault="00F95C64" w:rsidP="0036004D">
            <w:pPr>
              <w:spacing w:line="360" w:lineRule="auto"/>
              <w:rPr>
                <w:strike/>
                <w:cs/>
              </w:rPr>
            </w:pPr>
            <w:r w:rsidRPr="00CF366B">
              <w:rPr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10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วงเงินกู้สำหรับค่าเบี้ยประกันอัคคีภัยและวินาศภัย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11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วงเงินกู้</w:t>
            </w:r>
            <w:r w:rsidR="00F95C64" w:rsidRPr="00CF366B">
              <w:rPr>
                <w:cs/>
              </w:rPr>
              <w:t>สำหรับ</w:t>
            </w:r>
            <w:r w:rsidRPr="00CF366B">
              <w:rPr>
                <w:cs/>
              </w:rPr>
              <w:t>ค่าเบี้ยประกันชีวิตผู้กู้</w:t>
            </w:r>
            <w:r w:rsidR="00F95C64" w:rsidRPr="00CF366B">
              <w:rPr>
                <w:cs/>
              </w:rPr>
              <w:t xml:space="preserve">ที่เป็น </w:t>
            </w:r>
            <w:r w:rsidR="005D1559" w:rsidRPr="00CF366B">
              <w:t>Mortgage Reducing Term Assurance (</w:t>
            </w:r>
            <w:r w:rsidR="00E65AC5" w:rsidRPr="00CF366B">
              <w:t>MRTA</w:t>
            </w:r>
            <w:r w:rsidR="005D1559" w:rsidRPr="00CF366B">
              <w:t>)</w:t>
            </w:r>
            <w:r w:rsidR="005D1559" w:rsidRPr="00CF366B">
              <w:rPr>
                <w:color w:val="000000" w:themeColor="text1"/>
              </w:rPr>
              <w:t>:</w:t>
            </w:r>
          </w:p>
          <w:p w:rsidR="00F95C64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อื่นๆ เช่น กู้เพื่อเปิดสัญญาใหม่ปิดสัญญาเก่าตามโครงการช่วยเหลือของภาครัฐ เป็นต้น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CF366B">
              <w:rPr>
                <w:rFonts w:cs="Tahoma"/>
                <w:color w:val="000000" w:themeColor="text1"/>
                <w:cs/>
              </w:rPr>
              <w:t>สินเชื่อที่อยู่อาศัยสำหรับผู้สูงอายุ (</w:t>
            </w:r>
            <w:r w:rsidRPr="00CF366B">
              <w:rPr>
                <w:rFonts w:cs="Tahoma"/>
                <w:color w:val="000000" w:themeColor="text1"/>
              </w:rPr>
              <w:t>Reverse Mortgage):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รายงานข้อมูลนี้ กรณีที่ เป็นสินเชื่อ สำหรับผู้สูงอายุ เช่น ผู้สูงอายุขอกู้เพื่อรับ บำนาญ หรือ ค่าครองชีพ เป็นต้น โดยมีที่อยู่อาศัยเป็นหลักประกัน</w:t>
            </w:r>
          </w:p>
        </w:tc>
      </w:tr>
      <w:tr w:rsidR="000A268D" w:rsidRPr="00CF366B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/>
              </w:rPr>
            </w:pPr>
            <w:r w:rsidRPr="00CF366B">
              <w:rPr>
                <w:rFonts w:cs="Tahoma"/>
                <w:lang w:val="en-US"/>
              </w:rPr>
              <w:t>14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</w:pPr>
            <w:r w:rsidRPr="00CF366B">
              <w:rPr>
                <w:cs/>
              </w:rPr>
              <w:t>สินเชื่อ</w:t>
            </w:r>
            <w:r w:rsidR="00707B88" w:rsidRPr="00CF366B">
              <w:rPr>
                <w:cs/>
              </w:rPr>
              <w:t>อื่นที่เกี่ยวเนื่องกับสินเชื่อเพื่อที่อยู่อาศัย</w:t>
            </w:r>
            <w:r w:rsidRPr="00CF366B">
              <w:rPr>
                <w:cs/>
              </w:rPr>
              <w:t xml:space="preserve"> </w:t>
            </w:r>
            <w:r w:rsidR="00707B88" w:rsidRPr="00CF366B">
              <w:t>(</w:t>
            </w:r>
            <w:r w:rsidRPr="00CF366B">
              <w:t>Top up</w:t>
            </w:r>
            <w:r w:rsidR="00707B88" w:rsidRPr="00CF366B">
              <w:t>)</w:t>
            </w:r>
            <w:r w:rsidRPr="00CF366B">
              <w:t xml:space="preserve"> </w:t>
            </w:r>
            <w:r w:rsidRPr="00CF366B">
              <w:rPr>
                <w:cs/>
              </w:rPr>
              <w:t>เพื่อประกอบธุรกิจ</w:t>
            </w:r>
            <w:r w:rsidRPr="00CF366B">
              <w:t>:</w:t>
            </w:r>
          </w:p>
          <w:p w:rsidR="000A268D" w:rsidRPr="00CF366B" w:rsidRDefault="000A268D" w:rsidP="00C43748">
            <w:pPr>
              <w:spacing w:line="360" w:lineRule="auto"/>
              <w:rPr>
                <w:cs/>
              </w:rPr>
            </w:pPr>
            <w:r w:rsidRPr="00CF366B">
              <w:rPr>
                <w:cs/>
              </w:rPr>
              <w:t>วงเงินกู้เพิ่มเติมจากสินเชื่อ</w:t>
            </w:r>
            <w:r w:rsidR="005F6921" w:rsidRPr="00CF366B">
              <w:rPr>
                <w:cs/>
              </w:rPr>
              <w:t>เพื่อที่อยู่อาศัย</w:t>
            </w:r>
            <w:r w:rsidRPr="00CF366B">
              <w:rPr>
                <w:cs/>
              </w:rPr>
              <w:t xml:space="preserve"> เพื่อนำไปประกอบธุรกิจ</w:t>
            </w:r>
            <w:r w:rsidR="005F6921" w:rsidRPr="00CF366B">
              <w:rPr>
                <w:cs/>
              </w:rPr>
              <w:t xml:space="preserve"> โดยมีกระบวนการพิจารณาสินเชื่อและการบริหารความเสี่ยงเช่นเดียวกับสินเชื่อเพื่อใช้ในการประกอบธุรกิจโดยทั่วไป  ทั้งนี้ </w:t>
            </w:r>
            <w:r w:rsidR="005F6921" w:rsidRPr="00CF366B">
              <w:rPr>
                <w:u w:val="single"/>
                <w:cs/>
              </w:rPr>
              <w:t>ไม่นับรวม</w:t>
            </w:r>
            <w:r w:rsidR="005F6921" w:rsidRPr="00CF366B">
              <w:rPr>
                <w:cs/>
              </w:rPr>
              <w:t>สินเชื่อที่มีที่อยู่อาศัยซึ่งปลอดภาระหนี้แล้วเป็นหลักประกัน ตามที่ระบุในข้อ 8</w:t>
            </w:r>
          </w:p>
        </w:tc>
      </w:tr>
      <w:tr w:rsidR="0079525B" w:rsidRPr="00CF366B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9525B" w:rsidRPr="00CF366B" w:rsidRDefault="0079525B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/>
              </w:rPr>
            </w:pPr>
            <w:r w:rsidRPr="00CF366B">
              <w:rPr>
                <w:rFonts w:cs="Tahoma"/>
                <w:lang w:val="en-US"/>
              </w:rPr>
              <w:t>15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9525B" w:rsidRPr="00CF366B" w:rsidRDefault="00B419D9" w:rsidP="0079525B">
            <w:pPr>
              <w:spacing w:before="120" w:line="360" w:lineRule="auto"/>
            </w:pPr>
            <w:r w:rsidRPr="00CF366B">
              <w:rPr>
                <w:cs/>
              </w:rPr>
              <w:t>สินเชื่อ</w:t>
            </w:r>
            <w:r w:rsidR="0079525B" w:rsidRPr="00CF366B">
              <w:rPr>
                <w:cs/>
              </w:rPr>
              <w:t>เพื่อการอุปโภคบริโภค</w:t>
            </w:r>
            <w:r w:rsidR="00243E7F" w:rsidRPr="00CF366B">
              <w:rPr>
                <w:cs/>
              </w:rPr>
              <w:t>และอื่น</w:t>
            </w:r>
            <w:r w:rsidR="00C43748" w:rsidRPr="00CF366B">
              <w:rPr>
                <w:cs/>
              </w:rPr>
              <w:t xml:space="preserve"> </w:t>
            </w:r>
            <w:r w:rsidR="00243E7F" w:rsidRPr="00CF366B">
              <w:rPr>
                <w:cs/>
              </w:rPr>
              <w:t>ๆ</w:t>
            </w:r>
            <w:r w:rsidR="0079525B" w:rsidRPr="00CF366B">
              <w:t xml:space="preserve"> </w:t>
            </w:r>
            <w:r w:rsidR="00243E7F" w:rsidRPr="00CF366B">
              <w:rPr>
                <w:cs/>
              </w:rPr>
              <w:t>รวมถึง</w:t>
            </w:r>
            <w:r w:rsidR="0079525B" w:rsidRPr="00CF366B">
              <w:rPr>
                <w:cs/>
              </w:rPr>
              <w:t>ปรับปรุง / ต่อเติม / ซ่อมแซมที่อยู่อาศัย</w:t>
            </w:r>
            <w:r w:rsidR="005B2CC5" w:rsidRPr="00CF366B">
              <w:rPr>
                <w:cs/>
              </w:rPr>
              <w:t xml:space="preserve"> </w:t>
            </w:r>
            <w:r w:rsidR="005B2CC5" w:rsidRPr="00CF366B">
              <w:t>(Top up)</w:t>
            </w:r>
            <w:r w:rsidR="0079525B" w:rsidRPr="00CF366B">
              <w:t>:</w:t>
            </w:r>
          </w:p>
          <w:p w:rsidR="0079525B" w:rsidRPr="00CF366B" w:rsidRDefault="0079525B" w:rsidP="00C43748">
            <w:pPr>
              <w:spacing w:line="360" w:lineRule="auto"/>
              <w:rPr>
                <w:cs/>
              </w:rPr>
            </w:pPr>
            <w:r w:rsidRPr="00CF366B">
              <w:rPr>
                <w:cs/>
              </w:rPr>
              <w:t>วงเงินกู้เพิ่มเติมจากสินเชื่อ</w:t>
            </w:r>
            <w:r w:rsidR="00243E7F" w:rsidRPr="00CF366B">
              <w:rPr>
                <w:cs/>
              </w:rPr>
              <w:t>เพื่อที่อยู่อาศัย</w:t>
            </w:r>
            <w:r w:rsidRPr="00CF366B">
              <w:rPr>
                <w:cs/>
              </w:rPr>
              <w:t xml:space="preserve"> เพื่ออุปโภคบริโภค เช่น การซื้อเฟอร์นิเจอร์  เครื่องใช้ไฟฟ้า  วัสดุตกแต่ง หรือสินค้าอุปโภคบริโภค เช่น รถยนต์ เป็นต้น</w:t>
            </w:r>
            <w:r w:rsidR="00243E7F" w:rsidRPr="00CF366B">
              <w:t xml:space="preserve"> </w:t>
            </w:r>
            <w:r w:rsidR="00243E7F" w:rsidRPr="00CF366B">
              <w:rPr>
                <w:cs/>
              </w:rPr>
              <w:t>และอื่นๆ</w:t>
            </w:r>
            <w:r w:rsidRPr="00CF366B">
              <w:t xml:space="preserve"> </w:t>
            </w:r>
            <w:r w:rsidRPr="00CF366B">
              <w:rPr>
                <w:cs/>
              </w:rPr>
              <w:t>รวม</w:t>
            </w:r>
            <w:r w:rsidR="009053CB" w:rsidRPr="00CF366B">
              <w:rPr>
                <w:cs/>
              </w:rPr>
              <w:t>ถึง</w:t>
            </w:r>
            <w:r w:rsidRPr="00CF366B">
              <w:rPr>
                <w:cs/>
              </w:rPr>
              <w:t>การปรับปรุง / ต่อเติม / ซ่อมแซมที่อยู่อาศัย</w:t>
            </w:r>
            <w:r w:rsidR="00243E7F" w:rsidRPr="00CF366B">
              <w:rPr>
                <w:cs/>
              </w:rPr>
              <w:t xml:space="preserve"> ทั้งนี้ </w:t>
            </w:r>
            <w:r w:rsidR="00243E7F" w:rsidRPr="00CF366B">
              <w:rPr>
                <w:u w:val="single"/>
                <w:cs/>
              </w:rPr>
              <w:t>ไม่นับรวม</w:t>
            </w:r>
            <w:r w:rsidR="00243E7F" w:rsidRPr="00CF366B">
              <w:rPr>
                <w:cs/>
              </w:rPr>
              <w:t>สินเชื่อที่มีที่อยู่อาศัยซึ่งปลอดภาระหนี้แล้วเป็นหลักประกัน ตามที่ระบุในข้อ 6 และ 7</w:t>
            </w:r>
          </w:p>
        </w:tc>
      </w:tr>
      <w:tr w:rsidR="00F95C64" w:rsidRPr="00CF366B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95C64" w:rsidRPr="00CF366B" w:rsidRDefault="00F95C64" w:rsidP="00F95C6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lastRenderedPageBreak/>
              <w:t>16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5C64" w:rsidRPr="00CF366B" w:rsidRDefault="00F95C64" w:rsidP="00F95C64">
            <w:pPr>
              <w:spacing w:before="120" w:line="360" w:lineRule="auto"/>
            </w:pPr>
            <w:r w:rsidRPr="00CF366B">
              <w:rPr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="005D1559" w:rsidRPr="00CF366B">
              <w:t xml:space="preserve">Mortgage Level Term Assurance </w:t>
            </w:r>
            <w:r w:rsidR="005D1559" w:rsidRPr="00CF366B">
              <w:rPr>
                <w:cs/>
              </w:rPr>
              <w:t>(</w:t>
            </w:r>
            <w:r w:rsidRPr="00CF366B">
              <w:t>MLTA</w:t>
            </w:r>
            <w:r w:rsidR="005D1559" w:rsidRPr="00CF366B">
              <w:t>):</w:t>
            </w:r>
          </w:p>
          <w:p w:rsidR="00F95C64" w:rsidRPr="00CF366B" w:rsidRDefault="00F95C64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</w:tbl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4A5938">
      <w:r w:rsidRPr="00CF366B"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1" w:name="_Toc536639630"/>
            <w:bookmarkStart w:id="12" w:name="_Toc22642215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11"/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ข้าราชการ  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พนักงานรัฐวิสาหกิจ</w:t>
            </w:r>
            <w:r w:rsidR="00BC74B1" w:rsidRPr="00CF366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BC74B1" w:rsidRPr="00CF366B">
              <w:rPr>
                <w:rFonts w:cs="Tahoma"/>
                <w:color w:val="0000FF"/>
                <w:cs/>
                <w:lang w:val="en-US" w:eastAsia="en-US"/>
              </w:rPr>
              <w:t>และหน่วยงานที่เกี่ยวข้องกับรัฐบาล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พนักงานบริษัท</w:t>
            </w:r>
            <w:r w:rsidR="00B85D6F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B85D6F" w:rsidRPr="00B85D6F">
              <w:rPr>
                <w:rFonts w:cs="Tahoma"/>
                <w:color w:val="0000FF"/>
                <w:cs/>
                <w:lang w:val="en-US" w:eastAsia="en-US"/>
              </w:rPr>
              <w:t>(รวม ลูกจ้างรายวันที่มีสัญญาจ้าง)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พนักงานสถาบันการเงิน</w:t>
            </w:r>
            <w:r w:rsidR="00B85D6F">
              <w:rPr>
                <w:rFonts w:hint="cs"/>
                <w:color w:val="000000" w:themeColor="text1"/>
                <w:cs/>
              </w:rPr>
              <w:t xml:space="preserve"> </w:t>
            </w:r>
            <w:r w:rsidRPr="00CF366B">
              <w:rPr>
                <w:color w:val="000000" w:themeColor="text1"/>
                <w:cs/>
              </w:rPr>
              <w:t>(เฉพาะสวัสดิการของพนักงาน)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พ่อบ้าน / แม่บ้าน</w:t>
            </w:r>
            <w:r w:rsidR="00B85D6F">
              <w:rPr>
                <w:color w:val="000000" w:themeColor="text1"/>
              </w:rPr>
              <w:t xml:space="preserve"> </w:t>
            </w:r>
            <w:r w:rsidR="00B85D6F" w:rsidRPr="00B85D6F">
              <w:rPr>
                <w:color w:val="0000FF"/>
              </w:rPr>
              <w:t xml:space="preserve">/ </w:t>
            </w:r>
            <w:r w:rsidR="00B85D6F" w:rsidRPr="00B85D6F">
              <w:rPr>
                <w:color w:val="0000FF"/>
                <w:cs/>
              </w:rPr>
              <w:t xml:space="preserve">นักศึกษา </w:t>
            </w:r>
            <w:r w:rsidR="00B85D6F" w:rsidRPr="00B85D6F">
              <w:rPr>
                <w:color w:val="0000FF"/>
              </w:rPr>
              <w:t>/</w:t>
            </w:r>
            <w:r w:rsidR="00B85D6F" w:rsidRPr="00B85D6F">
              <w:rPr>
                <w:color w:val="0000FF"/>
                <w:cs/>
              </w:rPr>
              <w:t xml:space="preserve"> บุคคลที่เกษียณแล้วและรับบำเหน็จ </w:t>
            </w:r>
            <w:r w:rsidR="00B85D6F" w:rsidRPr="00B85D6F">
              <w:rPr>
                <w:color w:val="0000FF"/>
              </w:rPr>
              <w:t xml:space="preserve">/ </w:t>
            </w:r>
            <w:r w:rsidR="00B85D6F" w:rsidRPr="00B85D6F">
              <w:rPr>
                <w:color w:val="0000FF"/>
                <w:cs/>
              </w:rPr>
              <w:t>รวมบุคคลที่ไม่ได้ประกอบอาชีพ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อาชีพอิสระ / รับจ้างทั่วไป</w:t>
            </w:r>
            <w:r w:rsidR="00B85D6F">
              <w:rPr>
                <w:color w:val="000000" w:themeColor="text1"/>
              </w:rPr>
              <w:t xml:space="preserve"> </w:t>
            </w:r>
            <w:r w:rsidR="00B85D6F" w:rsidRPr="00B85D6F">
              <w:rPr>
                <w:color w:val="0000FF"/>
                <w:cs/>
              </w:rPr>
              <w:t>(รวม ลูกจ้างรายวันที่ไม่มีสัญญาจ้าง)</w:t>
            </w:r>
          </w:p>
        </w:tc>
      </w:tr>
    </w:tbl>
    <w:p w:rsidR="00A656F6" w:rsidRPr="00CF366B" w:rsidRDefault="00A656F6" w:rsidP="000108A0">
      <w:pPr>
        <w:rPr>
          <w:color w:val="000000" w:themeColor="text1"/>
        </w:rPr>
      </w:pPr>
    </w:p>
    <w:sectPr w:rsidR="00A656F6" w:rsidRPr="00CF366B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D47" w:rsidRDefault="003B6D47" w:rsidP="000108A0">
      <w:r>
        <w:separator/>
      </w:r>
    </w:p>
  </w:endnote>
  <w:endnote w:type="continuationSeparator" w:id="0">
    <w:p w:rsidR="003B6D47" w:rsidRDefault="003B6D47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748DC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MGL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  <w:r w:rsidR="00480837">
                            <w:rPr>
                              <w:color w:val="000000"/>
                            </w:rPr>
                            <w:t>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47EEE" w:rsidRPr="00ED2354" w:rsidRDefault="009748DC">
                    <w:pPr>
                      <w:spacing w:line="240" w:lineRule="exact"/>
                      <w:jc w:val="right"/>
                    </w:pPr>
                    <w:r>
                      <w:t xml:space="preserve">MGL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.</w:t>
                    </w:r>
                    <w:r w:rsidR="00480837">
                      <w:rPr>
                        <w:color w:val="000000"/>
                      </w:rPr>
                      <w:t>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183606" w:rsidRPr="00183606">
      <w:rPr>
        <w:b/>
        <w:noProof/>
      </w:rPr>
      <w:t>5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748DC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MGL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480837">
                            <w:t>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9748DC" w:rsidP="000108A0">
                    <w:pPr>
                      <w:spacing w:line="240" w:lineRule="exact"/>
                      <w:jc w:val="right"/>
                    </w:pPr>
                    <w:r>
                      <w:t xml:space="preserve">MGL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450527">
                      <w:t>1</w:t>
                    </w:r>
                    <w:r w:rsidR="00480837">
                      <w:t>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D47" w:rsidRDefault="003B6D47" w:rsidP="000108A0">
      <w:r>
        <w:separator/>
      </w:r>
    </w:p>
  </w:footnote>
  <w:footnote w:type="continuationSeparator" w:id="0">
    <w:p w:rsidR="003B6D47" w:rsidRDefault="003B6D47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28397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9"/>
  </w:num>
  <w:num w:numId="8">
    <w:abstractNumId w:val="18"/>
  </w:num>
  <w:num w:numId="9">
    <w:abstractNumId w:val="19"/>
  </w:num>
  <w:num w:numId="10">
    <w:abstractNumId w:val="12"/>
  </w:num>
  <w:num w:numId="11">
    <w:abstractNumId w:val="8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0"/>
  </w:num>
  <w:num w:numId="29">
    <w:abstractNumId w:val="17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11F7B"/>
    <w:rsid w:val="00012FA3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6185"/>
    <w:rsid w:val="00164567"/>
    <w:rsid w:val="00166FFF"/>
    <w:rsid w:val="0017045A"/>
    <w:rsid w:val="00176002"/>
    <w:rsid w:val="00177543"/>
    <w:rsid w:val="00182151"/>
    <w:rsid w:val="001830D1"/>
    <w:rsid w:val="00183606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6899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62C0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9A6"/>
    <w:rsid w:val="002D5F5D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6778C"/>
    <w:rsid w:val="00371B96"/>
    <w:rsid w:val="0037476C"/>
    <w:rsid w:val="0037577F"/>
    <w:rsid w:val="003758DF"/>
    <w:rsid w:val="00376C5F"/>
    <w:rsid w:val="003823E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B6D47"/>
    <w:rsid w:val="003C1730"/>
    <w:rsid w:val="003C2A2E"/>
    <w:rsid w:val="003C2BE0"/>
    <w:rsid w:val="003C686F"/>
    <w:rsid w:val="003D0FA5"/>
    <w:rsid w:val="003D3E29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0837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5F788B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72B0"/>
    <w:rsid w:val="007073CF"/>
    <w:rsid w:val="00707B88"/>
    <w:rsid w:val="00711758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9525B"/>
    <w:rsid w:val="00797461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4D8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8DC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5ED1"/>
    <w:rsid w:val="00B6027E"/>
    <w:rsid w:val="00B614A1"/>
    <w:rsid w:val="00B73D6B"/>
    <w:rsid w:val="00B74D90"/>
    <w:rsid w:val="00B77FAA"/>
    <w:rsid w:val="00B85D6F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6D15"/>
    <w:rsid w:val="00BC059F"/>
    <w:rsid w:val="00BC6863"/>
    <w:rsid w:val="00BC74B1"/>
    <w:rsid w:val="00BD4D2E"/>
    <w:rsid w:val="00BE1DCB"/>
    <w:rsid w:val="00BE2CDC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748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2F9E"/>
    <w:rsid w:val="00C83097"/>
    <w:rsid w:val="00C8417E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CB4"/>
    <w:rsid w:val="00CE5CF1"/>
    <w:rsid w:val="00CF1183"/>
    <w:rsid w:val="00CF366B"/>
    <w:rsid w:val="00CF38B9"/>
    <w:rsid w:val="00CF4005"/>
    <w:rsid w:val="00D012FA"/>
    <w:rsid w:val="00D02E86"/>
    <w:rsid w:val="00D0342D"/>
    <w:rsid w:val="00D036FF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001E"/>
    <w:rsid w:val="00DD34F3"/>
    <w:rsid w:val="00DD59E2"/>
    <w:rsid w:val="00DD722E"/>
    <w:rsid w:val="00DD7418"/>
    <w:rsid w:val="00DE59F6"/>
    <w:rsid w:val="00DF2675"/>
    <w:rsid w:val="00DF3583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1112"/>
    <w:rsid w:val="00E65AC5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B85D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0129CE-846D-457E-99D3-17B7C12E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ขวัญเนตร จิตรวัฒนาฤกษ์</cp:lastModifiedBy>
  <cp:revision>12</cp:revision>
  <dcterms:created xsi:type="dcterms:W3CDTF">2019-10-16T03:48:00Z</dcterms:created>
  <dcterms:modified xsi:type="dcterms:W3CDTF">2019-11-05T03:56:00Z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