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7A4819" w:rsidRPr="004F01C7" w:rsidRDefault="007A4819" w:rsidP="003D34A9">
      <w:pPr>
        <w:pStyle w:val="Title"/>
        <w:spacing w:after="0"/>
        <w:rPr>
          <w:rFonts w:cs="Tahoma"/>
          <w:color w:val="FF0000"/>
          <w:sz w:val="56"/>
          <w:szCs w:val="56"/>
          <w:cs/>
          <w:lang w:bidi="th-TH"/>
        </w:rPr>
      </w:pPr>
      <w:r w:rsidRPr="004F01C7">
        <w:rPr>
          <w:rFonts w:cs="Tahoma"/>
          <w:sz w:val="56"/>
          <w:szCs w:val="56"/>
          <w:cs/>
          <w:lang w:bidi="th-TH"/>
        </w:rPr>
        <w:t>โครงสร้างชุดข้อมูล</w:t>
      </w:r>
      <w:r w:rsidR="00256B5B" w:rsidRPr="004F01C7">
        <w:rPr>
          <w:rFonts w:cs="Tahoma"/>
          <w:sz w:val="56"/>
          <w:szCs w:val="56"/>
          <w:cs/>
          <w:lang w:bidi="th-TH"/>
        </w:rPr>
        <w:t>สินเชื่อ</w:t>
      </w:r>
      <w:r w:rsidR="009E5F21" w:rsidRPr="004F01C7">
        <w:rPr>
          <w:rFonts w:cs="Tahoma"/>
          <w:sz w:val="56"/>
          <w:szCs w:val="56"/>
          <w:cs/>
          <w:lang w:bidi="th-TH"/>
        </w:rPr>
        <w:t>ที่มีที่อยู่อาศัยเป็นหลักประกัน</w:t>
      </w:r>
    </w:p>
    <w:p w:rsidR="003D34A9" w:rsidRPr="004F01C7" w:rsidRDefault="009E5F21" w:rsidP="003D34A9">
      <w:pPr>
        <w:pStyle w:val="Title"/>
        <w:spacing w:after="0"/>
        <w:rPr>
          <w:rFonts w:cs="Tahoma"/>
          <w:sz w:val="56"/>
          <w:szCs w:val="56"/>
          <w:lang w:bidi="th-TH"/>
        </w:rPr>
      </w:pPr>
      <w:r w:rsidRPr="004F01C7">
        <w:rPr>
          <w:rFonts w:cs="Tahoma"/>
          <w:sz w:val="56"/>
          <w:szCs w:val="56"/>
          <w:lang w:bidi="th-TH"/>
        </w:rPr>
        <w:t>(MGL</w:t>
      </w:r>
      <w:r w:rsidR="007A4819" w:rsidRPr="004F01C7">
        <w:rPr>
          <w:rFonts w:cs="Tahoma"/>
          <w:sz w:val="56"/>
          <w:szCs w:val="56"/>
          <w:lang w:bidi="th-TH"/>
        </w:rPr>
        <w:t xml:space="preserve"> </w:t>
      </w:r>
      <w:r w:rsidR="003D34A9" w:rsidRPr="004F01C7">
        <w:rPr>
          <w:rFonts w:cs="Tahoma"/>
          <w:sz w:val="56"/>
          <w:szCs w:val="56"/>
          <w:lang w:bidi="th-TH"/>
        </w:rPr>
        <w:t>DATA SET DOCUMENT</w:t>
      </w:r>
      <w:r w:rsidR="007A4819" w:rsidRPr="004F01C7">
        <w:rPr>
          <w:rFonts w:cs="Tahoma"/>
          <w:sz w:val="56"/>
          <w:szCs w:val="56"/>
          <w:lang w:bidi="th-TH"/>
        </w:rPr>
        <w:t>)</w:t>
      </w:r>
      <w:r w:rsidR="003D34A9" w:rsidRPr="004F01C7">
        <w:rPr>
          <w:rFonts w:cs="Tahoma"/>
          <w:sz w:val="56"/>
          <w:szCs w:val="56"/>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Default="003D34A9" w:rsidP="004F01C7">
      <w:pPr>
        <w:pStyle w:val="Sub-block"/>
        <w:spacing w:before="0" w:after="240" w:line="440" w:lineRule="exact"/>
        <w:ind w:left="0"/>
        <w:rPr>
          <w:rFonts w:cs="Tahoma"/>
          <w:sz w:val="20"/>
          <w:szCs w:val="20"/>
        </w:rPr>
      </w:pPr>
      <w:r w:rsidRPr="007B3071">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F01C7" w:rsidRPr="00B81450" w:rsidTr="00685F33">
        <w:trPr>
          <w:tblHeader/>
        </w:trPr>
        <w:tc>
          <w:tcPr>
            <w:tcW w:w="927"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Revision marks</w:t>
            </w:r>
          </w:p>
        </w:tc>
      </w:tr>
      <w:tr w:rsidR="004F01C7" w:rsidRPr="00B81450" w:rsidTr="00685F33">
        <w:trPr>
          <w:trHeight w:val="586"/>
        </w:trPr>
        <w:tc>
          <w:tcPr>
            <w:tcW w:w="927" w:type="dxa"/>
            <w:tcBorders>
              <w:bottom w:val="dotted" w:sz="4" w:space="0" w:color="auto"/>
              <w:right w:val="dotted" w:sz="4" w:space="0" w:color="auto"/>
            </w:tcBorders>
            <w:shd w:val="clear" w:color="auto" w:fill="auto"/>
            <w:vAlign w:val="center"/>
          </w:tcPr>
          <w:p w:rsidR="004F01C7" w:rsidRPr="00183428" w:rsidRDefault="004F01C7" w:rsidP="00A25B7B">
            <w:pPr>
              <w:pStyle w:val="ItalicizedTableText"/>
              <w:spacing w:before="120"/>
              <w:jc w:val="center"/>
              <w:rPr>
                <w:rFonts w:cs="Tahoma"/>
                <w:i w:val="0"/>
                <w:iCs w:val="0"/>
                <w:color w:val="000000" w:themeColor="text1"/>
              </w:rPr>
            </w:pPr>
            <w:r w:rsidRPr="00183428">
              <w:rPr>
                <w:rFonts w:cs="Tahoma"/>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4F01C7" w:rsidRPr="00C348B4" w:rsidRDefault="00CE7DDF" w:rsidP="00A25B7B">
            <w:pPr>
              <w:pStyle w:val="ItalicizedTableText"/>
              <w:spacing w:before="120"/>
              <w:jc w:val="center"/>
              <w:rPr>
                <w:rFonts w:cs="Tahoma"/>
                <w:i w:val="0"/>
                <w:iCs w:val="0"/>
              </w:rPr>
            </w:pPr>
            <w:r w:rsidRPr="00C348B4">
              <w:rPr>
                <w:rFonts w:cs="Tahoma"/>
                <w:i w:val="0"/>
                <w:iCs w:val="0"/>
              </w:rPr>
              <w:t>28</w:t>
            </w:r>
            <w:r w:rsidR="004F01C7" w:rsidRPr="00C348B4">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vAlign w:val="center"/>
          </w:tcPr>
          <w:p w:rsidR="004F01C7" w:rsidRPr="00C348B4" w:rsidRDefault="00CE7DDF" w:rsidP="00CE7DDF">
            <w:pPr>
              <w:pStyle w:val="TableText"/>
              <w:spacing w:before="120"/>
              <w:jc w:val="center"/>
              <w:rPr>
                <w:rFonts w:cs="Tahoma"/>
              </w:rPr>
            </w:pPr>
            <w:r w:rsidRPr="00C348B4">
              <w:rPr>
                <w:rFonts w:cs="Tahoma"/>
              </w:rPr>
              <w:t>1</w:t>
            </w:r>
            <w:r w:rsidR="004F01C7" w:rsidRPr="00C348B4">
              <w:rPr>
                <w:rFonts w:cs="Tahoma"/>
              </w:rPr>
              <w:t xml:space="preserve"> </w:t>
            </w:r>
            <w:r w:rsidRPr="00C348B4">
              <w:rPr>
                <w:rFonts w:cs="Tahoma"/>
              </w:rPr>
              <w:t>April</w:t>
            </w:r>
            <w:r w:rsidR="004F01C7" w:rsidRPr="00C348B4">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4F01C7" w:rsidRPr="0025457C" w:rsidRDefault="004F01C7" w:rsidP="00A25B7B">
            <w:pPr>
              <w:pStyle w:val="TableText"/>
              <w:spacing w:before="120"/>
              <w:rPr>
                <w:rFonts w:cs="Tahoma"/>
                <w:b/>
                <w:bCs/>
              </w:rPr>
            </w:pPr>
            <w:r w:rsidRPr="0025457C">
              <w:rPr>
                <w:rFonts w:cs="Tahoma"/>
                <w:b/>
                <w:bCs/>
              </w:rPr>
              <w:t>First version</w:t>
            </w:r>
          </w:p>
        </w:tc>
        <w:tc>
          <w:tcPr>
            <w:tcW w:w="1049" w:type="dxa"/>
            <w:tcBorders>
              <w:left w:val="dotted" w:sz="4" w:space="0" w:color="auto"/>
              <w:bottom w:val="dotted" w:sz="4" w:space="0" w:color="auto"/>
            </w:tcBorders>
            <w:shd w:val="clear" w:color="auto" w:fill="auto"/>
            <w:vAlign w:val="center"/>
          </w:tcPr>
          <w:p w:rsidR="004F01C7" w:rsidRPr="00183428" w:rsidRDefault="004F01C7" w:rsidP="00A25B7B">
            <w:pPr>
              <w:pStyle w:val="TableText"/>
              <w:spacing w:before="120"/>
              <w:jc w:val="center"/>
              <w:rPr>
                <w:rFonts w:cs="Tahoma"/>
                <w:color w:val="000000" w:themeColor="text1"/>
              </w:rPr>
            </w:pPr>
            <w:r w:rsidRPr="00183428">
              <w:rPr>
                <w:rFonts w:cs="Tahoma"/>
                <w:color w:val="000000" w:themeColor="text1"/>
              </w:rPr>
              <w:t>No</w:t>
            </w:r>
          </w:p>
        </w:tc>
      </w:tr>
      <w:tr w:rsidR="00685F33" w:rsidRPr="00B81450" w:rsidTr="007A1597">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685F33" w:rsidRPr="00B72839" w:rsidRDefault="00685F33" w:rsidP="00685F33">
            <w:pPr>
              <w:pStyle w:val="ItalicizedTableText"/>
              <w:spacing w:before="120" w:line="360" w:lineRule="auto"/>
              <w:jc w:val="center"/>
              <w:rPr>
                <w:rFonts w:cs="Tahoma"/>
                <w:i w:val="0"/>
                <w:iCs w:val="0"/>
              </w:rPr>
            </w:pPr>
            <w:r>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Default="00B354C6" w:rsidP="0025457C">
            <w:pPr>
              <w:pStyle w:val="ItalicizedTableText"/>
              <w:spacing w:before="120" w:line="360" w:lineRule="auto"/>
              <w:jc w:val="center"/>
              <w:rPr>
                <w:rFonts w:cs="Tahoma"/>
                <w:i w:val="0"/>
                <w:iCs w:val="0"/>
                <w:color w:val="000000" w:themeColor="text1"/>
              </w:rPr>
            </w:pPr>
            <w:r>
              <w:rPr>
                <w:rFonts w:cs="Tahoma"/>
                <w:i w:val="0"/>
                <w:iCs w:val="0"/>
              </w:rPr>
              <w:t>29</w:t>
            </w:r>
            <w:r w:rsidR="00685F33">
              <w:rPr>
                <w:rFonts w:cs="Tahoma"/>
                <w:i w:val="0"/>
                <w:iCs w:val="0"/>
              </w:rPr>
              <w:t xml:space="preserve"> </w:t>
            </w:r>
            <w:r w:rsidR="0025457C">
              <w:rPr>
                <w:rFonts w:cs="Tahoma"/>
                <w:i w:val="0"/>
                <w:iCs w:val="0"/>
              </w:rPr>
              <w:t>May</w:t>
            </w:r>
            <w:r w:rsidR="00685F33">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B72839" w:rsidRDefault="00685F33" w:rsidP="00685F33">
            <w:pPr>
              <w:pStyle w:val="TableText"/>
              <w:spacing w:before="120" w:line="360" w:lineRule="auto"/>
              <w:jc w:val="center"/>
              <w:rPr>
                <w:rFonts w:cs="Tahoma"/>
                <w:color w:val="000000" w:themeColor="text1"/>
              </w:rPr>
            </w:pPr>
            <w:r w:rsidRPr="00E6292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Default="0025457C" w:rsidP="00685F33">
            <w:pPr>
              <w:pStyle w:val="TableText"/>
              <w:spacing w:before="120" w:line="360" w:lineRule="auto"/>
              <w:rPr>
                <w:rFonts w:cs="Tahoma"/>
              </w:rPr>
            </w:pPr>
            <w:r w:rsidRPr="007B3071">
              <w:rPr>
                <w:rFonts w:cs="Tahoma"/>
              </w:rPr>
              <w:t>Reference to file “Summary</w:t>
            </w:r>
            <w:r>
              <w:rPr>
                <w:rFonts w:cs="Tahoma"/>
              </w:rPr>
              <w:t xml:space="preserve"> of Change on </w:t>
            </w:r>
            <w:r w:rsidR="00C8414B">
              <w:rPr>
                <w:rFonts w:cs="Tahoma"/>
              </w:rPr>
              <w:t>MGL</w:t>
            </w:r>
            <w:r>
              <w:rPr>
                <w:rFonts w:cs="Tahoma"/>
              </w:rPr>
              <w:t xml:space="preserve"> </w:t>
            </w:r>
            <w:r w:rsidR="00C8414B">
              <w:rPr>
                <w:rFonts w:cs="Tahoma"/>
              </w:rPr>
              <w:t>Data Set</w:t>
            </w:r>
            <w:r>
              <w:rPr>
                <w:rFonts w:cs="Tahoma"/>
              </w:rPr>
              <w:t xml:space="preserve">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DE33E1" w:rsidRDefault="00DE33E1" w:rsidP="00DE33E1">
            <w:pPr>
              <w:pStyle w:val="TableText"/>
              <w:spacing w:line="360" w:lineRule="auto"/>
              <w:rPr>
                <w:rFonts w:cs="Tahoma"/>
              </w:rPr>
            </w:pPr>
          </w:p>
          <w:p w:rsidR="00DE33E1" w:rsidRPr="00B72839" w:rsidRDefault="00DE33E1" w:rsidP="00685F33">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Document version </w:t>
            </w:r>
            <w:r w:rsidRPr="00AC2649">
              <w:rPr>
                <w:rFonts w:cs="Tahoma"/>
                <w:rtl/>
                <w:cs/>
              </w:rPr>
              <w:t>1.1</w:t>
            </w:r>
            <w:r w:rsidRPr="00AC2649">
              <w:rPr>
                <w:rFonts w:cs="Tahoma"/>
              </w:rPr>
              <w:t>”, is designed to be used with “</w:t>
            </w:r>
            <w:r>
              <w:rPr>
                <w:rFonts w:cs="Tahoma"/>
              </w:rPr>
              <w:t>MGL</w:t>
            </w:r>
            <w:r w:rsidRPr="00AC2649">
              <w:rPr>
                <w:rFonts w:cs="Tahoma"/>
              </w:rPr>
              <w:t xml:space="preserve"> Data Set Manual version 1.1”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sidR="00E70085">
              <w:rPr>
                <w:rFonts w:cs="Tahoma"/>
              </w:rPr>
              <w:t>tion, other supporting document</w:t>
            </w:r>
            <w:r w:rsidRPr="00AC2649">
              <w:rPr>
                <w:rFonts w:cs="Tahoma"/>
              </w:rPr>
              <w:t xml:space="preserve"> </w:t>
            </w:r>
            <w:r>
              <w:rPr>
                <w:rFonts w:cs="Tahoma"/>
              </w:rPr>
              <w:t>is</w:t>
            </w:r>
            <w:r w:rsidRPr="00AC2649">
              <w:rPr>
                <w:rFonts w:cs="Tahoma"/>
              </w:rPr>
              <w:t xml:space="preserve"> </w:t>
            </w:r>
            <w:r w:rsidRPr="002A64B2">
              <w:t>“</w:t>
            </w:r>
            <w:r w:rsidRPr="002A64B2">
              <w:rPr>
                <w:rFonts w:hint="cs"/>
                <w:cs/>
                <w:lang w:bidi="th-TH"/>
              </w:rPr>
              <w:t>รหัสที่ตั้ง</w:t>
            </w:r>
            <w:r w:rsidRPr="002A64B2">
              <w:t> (Location Code)</w:t>
            </w:r>
            <w:r w:rsidRPr="00AC2649">
              <w:rPr>
                <w:rFonts w:cs="Tahoma"/>
              </w:rPr>
              <w:t>.</w:t>
            </w:r>
          </w:p>
        </w:tc>
        <w:tc>
          <w:tcPr>
            <w:tcW w:w="1049" w:type="dxa"/>
            <w:tcBorders>
              <w:top w:val="dotted" w:sz="4" w:space="0" w:color="auto"/>
              <w:left w:val="dotted" w:sz="4" w:space="0" w:color="auto"/>
              <w:bottom w:val="dotted" w:sz="4" w:space="0" w:color="auto"/>
            </w:tcBorders>
            <w:shd w:val="clear" w:color="auto" w:fill="auto"/>
            <w:vAlign w:val="center"/>
          </w:tcPr>
          <w:p w:rsidR="00685F33" w:rsidRPr="00B72839" w:rsidRDefault="00685F33" w:rsidP="00685F33">
            <w:pPr>
              <w:pStyle w:val="TableText"/>
              <w:spacing w:before="120" w:line="360" w:lineRule="auto"/>
              <w:jc w:val="center"/>
              <w:rPr>
                <w:rFonts w:cs="Tahoma"/>
              </w:rPr>
            </w:pPr>
            <w:r>
              <w:rPr>
                <w:rFonts w:cs="Tahoma"/>
                <w:color w:val="000000" w:themeColor="text1"/>
              </w:rPr>
              <w:t>Yes</w:t>
            </w:r>
          </w:p>
        </w:tc>
      </w:tr>
      <w:tr w:rsidR="00C8414B" w:rsidRPr="00B81450" w:rsidTr="00BF1959">
        <w:trPr>
          <w:trHeight w:val="586"/>
        </w:trPr>
        <w:tc>
          <w:tcPr>
            <w:tcW w:w="927" w:type="dxa"/>
            <w:tcBorders>
              <w:top w:val="dotted" w:sz="4" w:space="0" w:color="auto"/>
              <w:bottom w:val="dotted" w:sz="4" w:space="0" w:color="auto"/>
              <w:right w:val="dotted" w:sz="4" w:space="0" w:color="auto"/>
            </w:tcBorders>
            <w:shd w:val="clear" w:color="auto" w:fill="auto"/>
          </w:tcPr>
          <w:p w:rsidR="00C8414B" w:rsidRDefault="00C8414B" w:rsidP="00C8414B">
            <w:pPr>
              <w:pStyle w:val="ItalicizedTableText"/>
              <w:spacing w:before="120" w:line="360" w:lineRule="auto"/>
              <w:jc w:val="center"/>
              <w:rPr>
                <w:rFonts w:cs="Tahoma"/>
                <w:i w:val="0"/>
                <w:iCs w:val="0"/>
              </w:rPr>
            </w:pPr>
            <w:r>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C8414B" w:rsidRDefault="00C8414B" w:rsidP="00C8414B">
            <w:pPr>
              <w:pStyle w:val="ItalicizedTableText"/>
              <w:spacing w:before="120" w:line="360" w:lineRule="auto"/>
              <w:jc w:val="center"/>
              <w:rPr>
                <w:rFonts w:cs="Tahoma"/>
                <w:i w:val="0"/>
                <w:iCs w:val="0"/>
              </w:rPr>
            </w:pPr>
            <w:r>
              <w:rPr>
                <w:rFonts w:cs="Tahoma"/>
                <w:i w:val="0"/>
                <w:iCs w:val="0"/>
              </w:rPr>
              <w:t>11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C8414B" w:rsidRPr="00E62928" w:rsidRDefault="00C8414B" w:rsidP="00C8414B">
            <w:pPr>
              <w:pStyle w:val="TableText"/>
              <w:spacing w:before="120" w:line="360" w:lineRule="auto"/>
              <w:jc w:val="center"/>
              <w:rPr>
                <w:rFonts w:cs="Tahoma"/>
                <w:lang w:bidi="th-TH"/>
              </w:rPr>
            </w:pPr>
            <w:r w:rsidRPr="00E6292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C8414B" w:rsidRDefault="00C8414B" w:rsidP="00C8414B">
            <w:pPr>
              <w:pStyle w:val="TableText"/>
              <w:spacing w:before="120" w:line="360" w:lineRule="auto"/>
              <w:rPr>
                <w:rFonts w:cs="Tahoma"/>
              </w:rPr>
            </w:pPr>
            <w:r w:rsidRPr="007B3071">
              <w:rPr>
                <w:rFonts w:cs="Tahoma"/>
              </w:rPr>
              <w:t>Reference to file “Summary</w:t>
            </w:r>
            <w:r>
              <w:rPr>
                <w:rFonts w:cs="Tahoma"/>
              </w:rPr>
              <w:t xml:space="preserve"> of Change on MGL Data Set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C8414B" w:rsidRDefault="00C8414B" w:rsidP="00C8414B">
            <w:pPr>
              <w:pStyle w:val="TableText"/>
              <w:spacing w:before="120" w:line="360" w:lineRule="auto"/>
              <w:rPr>
                <w:rFonts w:cs="Tahoma"/>
              </w:rPr>
            </w:pPr>
            <w:r w:rsidRPr="007B3071">
              <w:rPr>
                <w:rFonts w:cs="Tahoma"/>
              </w:rPr>
              <w:t>Reference to file “Summary</w:t>
            </w:r>
            <w:r>
              <w:rPr>
                <w:rFonts w:cs="Tahoma"/>
              </w:rPr>
              <w:t xml:space="preserve"> of Change on MGL Data Set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2</w:t>
            </w:r>
            <w:r w:rsidRPr="007B3071">
              <w:rPr>
                <w:rFonts w:cs="Tahoma"/>
              </w:rPr>
              <w:t xml:space="preserve"> from </w:t>
            </w:r>
            <w:r>
              <w:rPr>
                <w:rFonts w:cs="Tahoma"/>
              </w:rPr>
              <w:t>1</w:t>
            </w:r>
            <w:r w:rsidRPr="007B3071">
              <w:rPr>
                <w:rFonts w:cs="Tahoma"/>
              </w:rPr>
              <w:t>.</w:t>
            </w:r>
            <w:r>
              <w:rPr>
                <w:rFonts w:cs="Tahoma"/>
              </w:rPr>
              <w:t>1”</w:t>
            </w:r>
            <w:r>
              <w:rPr>
                <w:rFonts w:cs="Tahoma"/>
              </w:rPr>
              <w:br/>
            </w:r>
            <w:r w:rsidRPr="007B3071">
              <w:rPr>
                <w:rFonts w:cs="Tahoma"/>
              </w:rPr>
              <w:t xml:space="preserve">Remark: All changes from version </w:t>
            </w:r>
            <w:r>
              <w:rPr>
                <w:rFonts w:cs="Tahoma"/>
              </w:rPr>
              <w:t>1</w:t>
            </w:r>
            <w:r w:rsidRPr="007B3071">
              <w:rPr>
                <w:rFonts w:cs="Tahoma"/>
              </w:rPr>
              <w:t>.</w:t>
            </w:r>
            <w:r>
              <w:rPr>
                <w:rFonts w:cs="Tahoma"/>
              </w:rPr>
              <w:t>1</w:t>
            </w:r>
            <w:r w:rsidRPr="007B3071">
              <w:rPr>
                <w:rFonts w:cs="Tahoma"/>
              </w:rPr>
              <w:t xml:space="preserve"> to version </w:t>
            </w:r>
            <w:r>
              <w:rPr>
                <w:rFonts w:cs="Tahoma"/>
              </w:rPr>
              <w:t>1</w:t>
            </w:r>
            <w:r w:rsidRPr="007B3071">
              <w:rPr>
                <w:rFonts w:cs="Tahoma"/>
              </w:rPr>
              <w:t>.</w:t>
            </w:r>
            <w:r>
              <w:rPr>
                <w:rFonts w:cs="Tahoma"/>
              </w:rPr>
              <w:t>2</w:t>
            </w:r>
            <w:r w:rsidRPr="007B3071">
              <w:rPr>
                <w:rFonts w:cs="Tahoma"/>
              </w:rPr>
              <w:t xml:space="preserve"> are in </w:t>
            </w:r>
            <w:r>
              <w:rPr>
                <w:color w:val="FF0000"/>
              </w:rPr>
              <w:t>red</w:t>
            </w:r>
            <w:r w:rsidRPr="004E0A28">
              <w:rPr>
                <w:color w:val="FF0000"/>
              </w:rPr>
              <w:t xml:space="preserve"> font.</w:t>
            </w:r>
          </w:p>
          <w:p w:rsidR="00C8414B" w:rsidRDefault="00C8414B" w:rsidP="00C8414B">
            <w:pPr>
              <w:pStyle w:val="TableText"/>
              <w:spacing w:line="360" w:lineRule="auto"/>
              <w:rPr>
                <w:rFonts w:cs="Tahoma"/>
              </w:rPr>
            </w:pPr>
          </w:p>
          <w:p w:rsidR="00C8414B" w:rsidRPr="007B3071" w:rsidRDefault="00C8414B" w:rsidP="00C8414B">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w:t>
            </w:r>
            <w:r>
              <w:rPr>
                <w:rFonts w:cs="Tahoma"/>
              </w:rPr>
              <w:t>Document</w:t>
            </w:r>
            <w:r w:rsidRPr="00AC2649">
              <w:rPr>
                <w:rFonts w:cs="Tahoma"/>
              </w:rPr>
              <w:t xml:space="preserve"> version </w:t>
            </w:r>
            <w:r w:rsidRPr="00AC2649">
              <w:rPr>
                <w:rFonts w:cs="Tahoma"/>
                <w:rtl/>
                <w:cs/>
              </w:rPr>
              <w:t>1.</w:t>
            </w:r>
            <w:r>
              <w:rPr>
                <w:rFonts w:cs="Tahoma"/>
              </w:rPr>
              <w:t>2</w:t>
            </w:r>
            <w:r w:rsidRPr="00AC2649">
              <w:rPr>
                <w:rFonts w:cs="Tahoma"/>
              </w:rPr>
              <w:t>”, is designed to be used with “</w:t>
            </w:r>
            <w:r>
              <w:rPr>
                <w:rFonts w:cs="Tahoma"/>
              </w:rPr>
              <w:t>MGL</w:t>
            </w:r>
            <w:r w:rsidRPr="00AC2649">
              <w:rPr>
                <w:rFonts w:cs="Tahoma"/>
              </w:rPr>
              <w:t xml:space="preserve"> Data Set </w:t>
            </w:r>
            <w:r>
              <w:rPr>
                <w:rFonts w:cs="Tahoma"/>
              </w:rPr>
              <w:t>Document</w:t>
            </w:r>
            <w:r w:rsidRPr="00AC2649">
              <w:rPr>
                <w:rFonts w:cs="Tahoma"/>
              </w:rPr>
              <w:t xml:space="preserve"> version 1.</w:t>
            </w:r>
            <w:r>
              <w:rPr>
                <w:rFonts w:cs="Tahoma"/>
              </w:rPr>
              <w:t>2</w:t>
            </w:r>
            <w:r w:rsidRPr="00AC2649">
              <w:rPr>
                <w:rFonts w:cs="Tahoma"/>
              </w:rPr>
              <w:t>”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Pr>
                <w:rFonts w:cs="Tahoma"/>
              </w:rPr>
              <w:t>tion, other supporting document</w:t>
            </w:r>
            <w:r w:rsidRPr="00AC2649">
              <w:rPr>
                <w:rFonts w:cs="Tahoma"/>
              </w:rPr>
              <w:t xml:space="preserve"> </w:t>
            </w:r>
            <w:r>
              <w:rPr>
                <w:rFonts w:cs="Tahoma"/>
              </w:rPr>
              <w:t>is</w:t>
            </w:r>
            <w:r w:rsidRPr="00AC2649">
              <w:rPr>
                <w:rFonts w:cs="Tahoma"/>
              </w:rPr>
              <w:t xml:space="preserve"> </w:t>
            </w:r>
            <w:r w:rsidRPr="002A64B2">
              <w:t>“</w:t>
            </w:r>
            <w:r w:rsidRPr="002A64B2">
              <w:rPr>
                <w:rFonts w:hint="cs"/>
                <w:cs/>
                <w:lang w:bidi="th-TH"/>
              </w:rPr>
              <w:t>รหัสที่ตั้ง</w:t>
            </w:r>
            <w:r w:rsidRPr="002A64B2">
              <w:t> (Location Code)</w:t>
            </w:r>
            <w:r w:rsidRPr="00AC2649">
              <w:rPr>
                <w:rFonts w:cs="Tahoma"/>
              </w:rPr>
              <w:t>.</w:t>
            </w:r>
          </w:p>
        </w:tc>
        <w:tc>
          <w:tcPr>
            <w:tcW w:w="1049" w:type="dxa"/>
            <w:tcBorders>
              <w:top w:val="dotted" w:sz="4" w:space="0" w:color="auto"/>
              <w:left w:val="dotted" w:sz="4" w:space="0" w:color="auto"/>
              <w:bottom w:val="dotted" w:sz="4" w:space="0" w:color="auto"/>
            </w:tcBorders>
            <w:shd w:val="clear" w:color="auto" w:fill="auto"/>
          </w:tcPr>
          <w:p w:rsidR="00C8414B" w:rsidRDefault="00C8414B" w:rsidP="00C8414B">
            <w:pPr>
              <w:pStyle w:val="TableText"/>
              <w:spacing w:before="120" w:line="360" w:lineRule="auto"/>
              <w:jc w:val="center"/>
              <w:rPr>
                <w:rFonts w:cs="Tahoma"/>
                <w:color w:val="000000" w:themeColor="text1"/>
              </w:rPr>
            </w:pPr>
            <w:r>
              <w:rPr>
                <w:rFonts w:cs="Tahoma"/>
                <w:color w:val="000000" w:themeColor="text1"/>
              </w:rPr>
              <w:t>Yes</w:t>
            </w:r>
          </w:p>
        </w:tc>
      </w:tr>
      <w:tr w:rsidR="00BF1959" w:rsidRPr="00B81450" w:rsidTr="00114EB5">
        <w:trPr>
          <w:trHeight w:val="586"/>
        </w:trPr>
        <w:tc>
          <w:tcPr>
            <w:tcW w:w="927" w:type="dxa"/>
            <w:tcBorders>
              <w:top w:val="dotted" w:sz="4" w:space="0" w:color="auto"/>
              <w:right w:val="dotted" w:sz="4" w:space="0" w:color="auto"/>
            </w:tcBorders>
            <w:shd w:val="clear" w:color="auto" w:fill="auto"/>
          </w:tcPr>
          <w:p w:rsidR="00BF1959" w:rsidRDefault="00BF1959" w:rsidP="00BF1959">
            <w:pPr>
              <w:pStyle w:val="ItalicizedTableText"/>
              <w:spacing w:before="120" w:line="360" w:lineRule="auto"/>
              <w:jc w:val="center"/>
              <w:rPr>
                <w:rFonts w:cs="Tahoma"/>
                <w:i w:val="0"/>
                <w:iCs w:val="0"/>
              </w:rPr>
            </w:pPr>
            <w:r>
              <w:rPr>
                <w:rFonts w:cs="Tahoma"/>
                <w:i w:val="0"/>
                <w:iCs w:val="0"/>
              </w:rPr>
              <w:t>1.3</w:t>
            </w:r>
          </w:p>
        </w:tc>
        <w:tc>
          <w:tcPr>
            <w:tcW w:w="1992" w:type="dxa"/>
            <w:tcBorders>
              <w:top w:val="dotted" w:sz="4" w:space="0" w:color="auto"/>
              <w:left w:val="dotted" w:sz="4" w:space="0" w:color="auto"/>
              <w:right w:val="dotted" w:sz="4" w:space="0" w:color="auto"/>
            </w:tcBorders>
            <w:shd w:val="clear" w:color="auto" w:fill="auto"/>
          </w:tcPr>
          <w:p w:rsidR="00BF1959" w:rsidRDefault="00BF1959" w:rsidP="00BF1959">
            <w:pPr>
              <w:pStyle w:val="ItalicizedTableText"/>
              <w:spacing w:before="120" w:line="360" w:lineRule="auto"/>
              <w:jc w:val="center"/>
              <w:rPr>
                <w:rFonts w:cs="Tahoma"/>
                <w:i w:val="0"/>
                <w:iCs w:val="0"/>
              </w:rPr>
            </w:pPr>
            <w:r>
              <w:rPr>
                <w:rFonts w:cs="Tahoma"/>
                <w:i w:val="0"/>
                <w:iCs w:val="0"/>
              </w:rPr>
              <w:t>22 July 2019</w:t>
            </w:r>
          </w:p>
        </w:tc>
        <w:tc>
          <w:tcPr>
            <w:tcW w:w="1834" w:type="dxa"/>
            <w:tcBorders>
              <w:top w:val="dotted" w:sz="4" w:space="0" w:color="auto"/>
              <w:left w:val="dotted" w:sz="4" w:space="0" w:color="auto"/>
              <w:right w:val="dotted" w:sz="4" w:space="0" w:color="auto"/>
            </w:tcBorders>
            <w:shd w:val="clear" w:color="auto" w:fill="auto"/>
          </w:tcPr>
          <w:p w:rsidR="00BF1959" w:rsidRPr="00E62928" w:rsidRDefault="00BF1959" w:rsidP="00BF1959">
            <w:pPr>
              <w:pStyle w:val="TableText"/>
              <w:spacing w:before="120" w:line="360" w:lineRule="auto"/>
              <w:jc w:val="center"/>
              <w:rPr>
                <w:rFonts w:cs="Tahoma"/>
                <w:lang w:bidi="th-TH"/>
              </w:rPr>
            </w:pPr>
            <w:r w:rsidRPr="00E62928">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tcPr>
          <w:p w:rsidR="00BF1959" w:rsidRDefault="00BF1959" w:rsidP="00BF1959">
            <w:pPr>
              <w:pStyle w:val="TableText"/>
              <w:spacing w:before="120" w:line="360" w:lineRule="auto"/>
              <w:rPr>
                <w:rFonts w:cs="Tahoma"/>
              </w:rPr>
            </w:pPr>
            <w:r w:rsidRPr="007B3071">
              <w:rPr>
                <w:rFonts w:cs="Tahoma"/>
              </w:rPr>
              <w:t>Reference to file “Summary</w:t>
            </w:r>
            <w:r>
              <w:rPr>
                <w:rFonts w:cs="Tahoma"/>
              </w:rPr>
              <w:t xml:space="preserve"> of Change on MGL Data Set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BF1959" w:rsidRDefault="00BF1959" w:rsidP="00BF1959">
            <w:pPr>
              <w:pStyle w:val="TableText"/>
              <w:spacing w:before="120" w:line="360" w:lineRule="auto"/>
              <w:rPr>
                <w:rFonts w:cs="Tahoma"/>
              </w:rPr>
            </w:pPr>
            <w:r w:rsidRPr="007B3071">
              <w:rPr>
                <w:rFonts w:cs="Tahoma"/>
              </w:rPr>
              <w:lastRenderedPageBreak/>
              <w:t>Reference to file “Summary</w:t>
            </w:r>
            <w:r>
              <w:rPr>
                <w:rFonts w:cs="Tahoma"/>
              </w:rPr>
              <w:t xml:space="preserve"> of Change on MGL Data Set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2</w:t>
            </w:r>
            <w:r w:rsidRPr="007B3071">
              <w:rPr>
                <w:rFonts w:cs="Tahoma"/>
              </w:rPr>
              <w:t xml:space="preserve"> from </w:t>
            </w:r>
            <w:r>
              <w:rPr>
                <w:rFonts w:cs="Tahoma"/>
              </w:rPr>
              <w:t>1</w:t>
            </w:r>
            <w:r w:rsidRPr="007B3071">
              <w:rPr>
                <w:rFonts w:cs="Tahoma"/>
              </w:rPr>
              <w:t>.</w:t>
            </w:r>
            <w:r>
              <w:rPr>
                <w:rFonts w:cs="Tahoma"/>
              </w:rPr>
              <w:t>1”</w:t>
            </w:r>
            <w:r>
              <w:rPr>
                <w:rFonts w:cs="Tahoma"/>
              </w:rPr>
              <w:br/>
            </w:r>
            <w:r w:rsidRPr="007B3071">
              <w:rPr>
                <w:rFonts w:cs="Tahoma"/>
              </w:rPr>
              <w:t xml:space="preserve">Remark: All changes from version </w:t>
            </w:r>
            <w:r>
              <w:rPr>
                <w:rFonts w:cs="Tahoma"/>
              </w:rPr>
              <w:t>1</w:t>
            </w:r>
            <w:r w:rsidRPr="007B3071">
              <w:rPr>
                <w:rFonts w:cs="Tahoma"/>
              </w:rPr>
              <w:t>.</w:t>
            </w:r>
            <w:r>
              <w:rPr>
                <w:rFonts w:cs="Tahoma"/>
              </w:rPr>
              <w:t>1</w:t>
            </w:r>
            <w:r w:rsidRPr="007B3071">
              <w:rPr>
                <w:rFonts w:cs="Tahoma"/>
              </w:rPr>
              <w:t xml:space="preserve"> to version </w:t>
            </w:r>
            <w:r>
              <w:rPr>
                <w:rFonts w:cs="Tahoma"/>
              </w:rPr>
              <w:t>1</w:t>
            </w:r>
            <w:r w:rsidRPr="007B3071">
              <w:rPr>
                <w:rFonts w:cs="Tahoma"/>
              </w:rPr>
              <w:t>.</w:t>
            </w:r>
            <w:r>
              <w:rPr>
                <w:rFonts w:cs="Tahoma"/>
              </w:rPr>
              <w:t>2</w:t>
            </w:r>
            <w:r w:rsidRPr="007B3071">
              <w:rPr>
                <w:rFonts w:cs="Tahoma"/>
              </w:rPr>
              <w:t xml:space="preserve"> are in </w:t>
            </w:r>
            <w:r>
              <w:rPr>
                <w:color w:val="FF0000"/>
              </w:rPr>
              <w:t>red</w:t>
            </w:r>
            <w:r w:rsidRPr="004E0A28">
              <w:rPr>
                <w:color w:val="FF0000"/>
              </w:rPr>
              <w:t xml:space="preserve"> font.</w:t>
            </w:r>
          </w:p>
          <w:p w:rsidR="00470DBB" w:rsidRDefault="00470DBB" w:rsidP="00470DBB">
            <w:pPr>
              <w:pStyle w:val="TableText"/>
              <w:spacing w:before="120" w:line="360" w:lineRule="auto"/>
              <w:rPr>
                <w:rFonts w:cs="Tahoma"/>
              </w:rPr>
            </w:pPr>
            <w:r w:rsidRPr="007B3071">
              <w:rPr>
                <w:rFonts w:cs="Tahoma"/>
              </w:rPr>
              <w:t>Reference to file “Summary</w:t>
            </w:r>
            <w:r>
              <w:rPr>
                <w:rFonts w:cs="Tahoma"/>
              </w:rPr>
              <w:t xml:space="preserve"> of Change on MGL Data Set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3</w:t>
            </w:r>
            <w:r w:rsidRPr="007B3071">
              <w:rPr>
                <w:rFonts w:cs="Tahoma"/>
              </w:rPr>
              <w:t xml:space="preserve"> from </w:t>
            </w:r>
            <w:r>
              <w:rPr>
                <w:rFonts w:cs="Tahoma"/>
              </w:rPr>
              <w:t>1</w:t>
            </w:r>
            <w:r w:rsidRPr="007B3071">
              <w:rPr>
                <w:rFonts w:cs="Tahoma"/>
              </w:rPr>
              <w:t>.</w:t>
            </w:r>
            <w:r>
              <w:rPr>
                <w:rFonts w:cs="Tahoma"/>
              </w:rPr>
              <w:t>2”</w:t>
            </w:r>
            <w:r>
              <w:rPr>
                <w:rFonts w:cs="Tahoma"/>
              </w:rPr>
              <w:br/>
            </w:r>
            <w:r w:rsidRPr="007B3071">
              <w:rPr>
                <w:rFonts w:cs="Tahoma"/>
              </w:rPr>
              <w:t xml:space="preserve">Remark: All changes from version </w:t>
            </w:r>
            <w:r>
              <w:rPr>
                <w:rFonts w:cs="Tahoma"/>
              </w:rPr>
              <w:t>1</w:t>
            </w:r>
            <w:r w:rsidRPr="007B3071">
              <w:rPr>
                <w:rFonts w:cs="Tahoma"/>
              </w:rPr>
              <w:t>.</w:t>
            </w:r>
            <w:r>
              <w:rPr>
                <w:rFonts w:cs="Tahoma"/>
              </w:rPr>
              <w:t>2</w:t>
            </w:r>
            <w:r w:rsidRPr="007B3071">
              <w:rPr>
                <w:rFonts w:cs="Tahoma"/>
              </w:rPr>
              <w:t xml:space="preserve"> to version </w:t>
            </w:r>
            <w:r>
              <w:rPr>
                <w:rFonts w:cs="Tahoma"/>
              </w:rPr>
              <w:t>1</w:t>
            </w:r>
            <w:r w:rsidRPr="007B3071">
              <w:rPr>
                <w:rFonts w:cs="Tahoma"/>
              </w:rPr>
              <w:t>.</w:t>
            </w:r>
            <w:r>
              <w:rPr>
                <w:rFonts w:cs="Tahoma"/>
              </w:rPr>
              <w:t>3</w:t>
            </w:r>
            <w:r w:rsidRPr="007B3071">
              <w:rPr>
                <w:rFonts w:cs="Tahoma"/>
              </w:rPr>
              <w:t xml:space="preserve"> are in </w:t>
            </w:r>
            <w:r w:rsidRPr="00470DBB">
              <w:rPr>
                <w:color w:val="00B050"/>
              </w:rPr>
              <w:t>green font.</w:t>
            </w:r>
          </w:p>
          <w:p w:rsidR="00BF1959" w:rsidRDefault="00BF1959" w:rsidP="00BF1959">
            <w:pPr>
              <w:pStyle w:val="TableText"/>
              <w:spacing w:line="360" w:lineRule="auto"/>
              <w:rPr>
                <w:rFonts w:cs="Tahoma"/>
              </w:rPr>
            </w:pPr>
          </w:p>
          <w:p w:rsidR="00BF1959" w:rsidRPr="007B3071" w:rsidRDefault="00BF1959" w:rsidP="000D2C04">
            <w:pPr>
              <w:pStyle w:val="TableText"/>
              <w:spacing w:before="120" w:line="360" w:lineRule="auto"/>
              <w:rPr>
                <w:rFonts w:cs="Tahoma"/>
                <w:lang w:bidi="th-TH"/>
              </w:rPr>
            </w:pPr>
            <w:r w:rsidRPr="00AC2649">
              <w:rPr>
                <w:rFonts w:cs="Tahoma"/>
              </w:rPr>
              <w:t>This document, “</w:t>
            </w:r>
            <w:r w:rsidRPr="008060D8">
              <w:rPr>
                <w:rFonts w:cs="Tahoma"/>
              </w:rPr>
              <w:t xml:space="preserve">MGL Data Set Document version </w:t>
            </w:r>
            <w:r w:rsidRPr="008060D8">
              <w:rPr>
                <w:rFonts w:cs="Tahoma"/>
                <w:rtl/>
                <w:cs/>
              </w:rPr>
              <w:t>1.</w:t>
            </w:r>
            <w:r w:rsidR="00470DBB" w:rsidRPr="008060D8">
              <w:rPr>
                <w:rFonts w:cs="Tahoma"/>
              </w:rPr>
              <w:t>3</w:t>
            </w:r>
            <w:r w:rsidRPr="008060D8">
              <w:rPr>
                <w:rFonts w:cs="Tahoma"/>
              </w:rPr>
              <w:t xml:space="preserve">”, is designed to be used with “MGL Data Set Document </w:t>
            </w:r>
            <w:bookmarkStart w:id="0" w:name="_GoBack"/>
            <w:r w:rsidRPr="000D2C04">
              <w:rPr>
                <w:rFonts w:cs="Tahoma"/>
              </w:rPr>
              <w:t>version 1.</w:t>
            </w:r>
            <w:r w:rsidR="00470DBB" w:rsidRPr="000D2C04">
              <w:rPr>
                <w:rFonts w:cs="Tahoma"/>
              </w:rPr>
              <w:t>3</w:t>
            </w:r>
            <w:r w:rsidRPr="000D2C04">
              <w:rPr>
                <w:rFonts w:cs="Tahoma"/>
              </w:rPr>
              <w:t>” and</w:t>
            </w:r>
            <w:r w:rsidRPr="000D2C04">
              <w:rPr>
                <w:rFonts w:cs="Tahoma"/>
                <w:rtl/>
                <w:cs/>
              </w:rPr>
              <w:t xml:space="preserve"> </w:t>
            </w:r>
            <w:r w:rsidRPr="000D2C04">
              <w:rPr>
                <w:rFonts w:cs="Tahoma"/>
              </w:rPr>
              <w:t xml:space="preserve">“MGL Classification Document version </w:t>
            </w:r>
            <w:r w:rsidRPr="000D2C04">
              <w:rPr>
                <w:rFonts w:cs="Tahoma"/>
                <w:rtl/>
                <w:cs/>
              </w:rPr>
              <w:t>1.</w:t>
            </w:r>
            <w:r w:rsidRPr="000D2C04">
              <w:rPr>
                <w:rFonts w:cs="Tahoma"/>
              </w:rPr>
              <w:t xml:space="preserve">0”. In addition, other supporting document </w:t>
            </w:r>
            <w:r w:rsidR="00470DBB" w:rsidRPr="000D2C04">
              <w:rPr>
                <w:rFonts w:cs="Tahoma"/>
              </w:rPr>
              <w:t>are</w:t>
            </w:r>
            <w:r w:rsidRPr="000D2C04">
              <w:rPr>
                <w:rFonts w:cs="Tahoma"/>
              </w:rPr>
              <w:t xml:space="preserve"> “</w:t>
            </w:r>
            <w:r w:rsidRPr="000D2C04">
              <w:rPr>
                <w:rFonts w:cs="Tahoma"/>
                <w:cs/>
                <w:lang w:bidi="th-TH"/>
              </w:rPr>
              <w:t>รหัสที่ตั้ง</w:t>
            </w:r>
            <w:r w:rsidRPr="000D2C04">
              <w:rPr>
                <w:rFonts w:cs="Tahoma"/>
              </w:rPr>
              <w:t> (Location Code)</w:t>
            </w:r>
            <w:r w:rsidR="00470DBB" w:rsidRPr="000D2C04">
              <w:rPr>
                <w:rFonts w:cs="Tahoma"/>
                <w:cs/>
                <w:lang w:bidi="th-TH"/>
              </w:rPr>
              <w:t>”</w:t>
            </w:r>
            <w:r w:rsidR="00470DBB" w:rsidRPr="000D2C04">
              <w:rPr>
                <w:rFonts w:cs="Tahoma"/>
              </w:rPr>
              <w:t xml:space="preserve"> </w:t>
            </w:r>
            <w:r w:rsidR="008060D8" w:rsidRPr="000D2C04">
              <w:rPr>
                <w:rFonts w:cs="Tahoma"/>
              </w:rPr>
              <w:t xml:space="preserve">and </w:t>
            </w:r>
            <w:r w:rsidR="000D2C04" w:rsidRPr="000D2C04">
              <w:rPr>
                <w:rFonts w:cs="Tahoma"/>
                <w:lang w:bidi="th-TH"/>
              </w:rPr>
              <w:t>“</w:t>
            </w:r>
            <w:r w:rsidR="000D2C04" w:rsidRPr="000D2C04">
              <w:rPr>
                <w:rFonts w:cs="Tahoma"/>
                <w:cs/>
                <w:lang w:bidi="th-TH"/>
              </w:rPr>
              <w:t xml:space="preserve">เอกสารสรุปมาตรฐานการคำนวณ </w:t>
            </w:r>
            <w:r w:rsidR="000D2C04" w:rsidRPr="000D2C04">
              <w:rPr>
                <w:rFonts w:cs="Tahoma"/>
                <w:lang w:bidi="th-TH"/>
              </w:rPr>
              <w:t>Debt Service Ratio (</w:t>
            </w:r>
            <w:r w:rsidR="000D2C04" w:rsidRPr="000D2C04">
              <w:rPr>
                <w:rFonts w:cs="Tahoma"/>
                <w:cs/>
                <w:lang w:bidi="th-TH"/>
              </w:rPr>
              <w:t>เอกสารประกอบการรายงาน)</w:t>
            </w:r>
            <w:r w:rsidR="000D2C04" w:rsidRPr="000D2C04">
              <w:rPr>
                <w:rFonts w:cs="Tahoma"/>
                <w:lang w:bidi="th-TH"/>
              </w:rPr>
              <w:t>”.</w:t>
            </w:r>
            <w:bookmarkEnd w:id="0"/>
          </w:p>
        </w:tc>
        <w:tc>
          <w:tcPr>
            <w:tcW w:w="1049" w:type="dxa"/>
            <w:tcBorders>
              <w:top w:val="dotted" w:sz="4" w:space="0" w:color="auto"/>
              <w:left w:val="dotted" w:sz="4" w:space="0" w:color="auto"/>
            </w:tcBorders>
            <w:shd w:val="clear" w:color="auto" w:fill="auto"/>
          </w:tcPr>
          <w:p w:rsidR="00BF1959" w:rsidRDefault="00BF1959" w:rsidP="00BF1959">
            <w:pPr>
              <w:pStyle w:val="TableText"/>
              <w:spacing w:before="120" w:line="360" w:lineRule="auto"/>
              <w:jc w:val="center"/>
              <w:rPr>
                <w:rFonts w:cs="Tahoma"/>
                <w:color w:val="000000" w:themeColor="text1"/>
              </w:rPr>
            </w:pPr>
            <w:r>
              <w:rPr>
                <w:rFonts w:cs="Tahoma"/>
                <w:color w:val="000000" w:themeColor="text1"/>
              </w:rPr>
              <w:lastRenderedPageBreak/>
              <w:t>Yes</w:t>
            </w:r>
          </w:p>
        </w:tc>
      </w:tr>
    </w:tbl>
    <w:p w:rsidR="004F01C7" w:rsidRPr="007B3071"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9E21DC" w:rsidRDefault="00302003">
          <w:pPr>
            <w:pStyle w:val="TOCHeading"/>
            <w:rPr>
              <w:rFonts w:ascii="Tahoma" w:hAnsi="Tahoma" w:cs="Tahoma"/>
              <w:b/>
              <w:bCs/>
              <w:color w:val="auto"/>
              <w:sz w:val="20"/>
              <w:szCs w:val="20"/>
            </w:rPr>
          </w:pPr>
          <w:r w:rsidRPr="009E21DC">
            <w:rPr>
              <w:rFonts w:ascii="Tahoma" w:hAnsi="Tahoma" w:cs="Tahoma"/>
              <w:b/>
              <w:bCs/>
              <w:color w:val="auto"/>
              <w:sz w:val="20"/>
              <w:szCs w:val="20"/>
            </w:rPr>
            <w:t>Table of Contents</w:t>
          </w:r>
        </w:p>
        <w:p w:rsidR="00B061EE" w:rsidRPr="009E21DC" w:rsidRDefault="00B061EE">
          <w:pPr>
            <w:pStyle w:val="TOC1"/>
            <w:rPr>
              <w:rFonts w:eastAsiaTheme="minorEastAsia"/>
              <w:b w:val="0"/>
              <w:bCs w:val="0"/>
              <w:color w:val="auto"/>
            </w:rPr>
          </w:pPr>
          <w:r w:rsidRPr="009E21DC">
            <w:rPr>
              <w:b w:val="0"/>
              <w:bCs w:val="0"/>
            </w:rPr>
            <w:fldChar w:fldCharType="begin"/>
          </w:r>
          <w:r w:rsidRPr="009E21DC">
            <w:rPr>
              <w:b w:val="0"/>
              <w:bCs w:val="0"/>
            </w:rPr>
            <w:instrText xml:space="preserve"> TOC \o "1-3" \h \z \u </w:instrText>
          </w:r>
          <w:r w:rsidRPr="009E21DC">
            <w:rPr>
              <w:b w:val="0"/>
              <w:bCs w:val="0"/>
            </w:rPr>
            <w:fldChar w:fldCharType="separate"/>
          </w:r>
          <w:hyperlink w:anchor="_Toc2116211" w:history="1">
            <w:r w:rsidRPr="009E21DC">
              <w:rPr>
                <w:rStyle w:val="Hyperlink"/>
              </w:rPr>
              <w:t>1.</w:t>
            </w:r>
            <w:r w:rsidRPr="009E21DC">
              <w:rPr>
                <w:rFonts w:eastAsiaTheme="minorEastAsia"/>
                <w:b w:val="0"/>
                <w:bCs w:val="0"/>
                <w:color w:val="auto"/>
              </w:rPr>
              <w:tab/>
            </w:r>
            <w:r w:rsidRPr="009E21DC">
              <w:rPr>
                <w:rStyle w:val="Hyperlink"/>
              </w:rPr>
              <w:t>Document Overview</w:t>
            </w:r>
            <w:r w:rsidRPr="009E21DC">
              <w:rPr>
                <w:webHidden/>
              </w:rPr>
              <w:tab/>
            </w:r>
            <w:r w:rsidRPr="009E21DC">
              <w:rPr>
                <w:rStyle w:val="Hyperlink"/>
              </w:rPr>
              <w:fldChar w:fldCharType="begin"/>
            </w:r>
            <w:r w:rsidRPr="009E21DC">
              <w:rPr>
                <w:webHidden/>
              </w:rPr>
              <w:instrText xml:space="preserve"> PAGEREF _Toc2116211 \h </w:instrText>
            </w:r>
            <w:r w:rsidRPr="009E21DC">
              <w:rPr>
                <w:rStyle w:val="Hyperlink"/>
              </w:rPr>
            </w:r>
            <w:r w:rsidRPr="009E21DC">
              <w:rPr>
                <w:rStyle w:val="Hyperlink"/>
              </w:rPr>
              <w:fldChar w:fldCharType="separate"/>
            </w:r>
            <w:r w:rsidR="00611C7D" w:rsidRPr="009E21DC">
              <w:rPr>
                <w:webHidden/>
              </w:rPr>
              <w:t>5</w:t>
            </w:r>
            <w:r w:rsidRPr="009E21DC">
              <w:rPr>
                <w:rStyle w:val="Hyperlink"/>
              </w:rPr>
              <w:fldChar w:fldCharType="end"/>
            </w:r>
          </w:hyperlink>
        </w:p>
        <w:p w:rsidR="00B061EE" w:rsidRPr="009E21DC" w:rsidRDefault="000D2C04">
          <w:pPr>
            <w:pStyle w:val="TOC1"/>
            <w:rPr>
              <w:rFonts w:eastAsiaTheme="minorEastAsia"/>
              <w:b w:val="0"/>
              <w:bCs w:val="0"/>
              <w:color w:val="auto"/>
            </w:rPr>
          </w:pPr>
          <w:hyperlink w:anchor="_Toc2116212" w:history="1">
            <w:r w:rsidR="00B061EE" w:rsidRPr="009E21DC">
              <w:rPr>
                <w:rStyle w:val="Hyperlink"/>
              </w:rPr>
              <w:t>2.</w:t>
            </w:r>
            <w:r w:rsidR="00B061EE" w:rsidRPr="009E21DC">
              <w:rPr>
                <w:rFonts w:eastAsiaTheme="minorEastAsia"/>
                <w:b w:val="0"/>
                <w:bCs w:val="0"/>
                <w:color w:val="auto"/>
              </w:rPr>
              <w:tab/>
            </w:r>
            <w:r w:rsidR="00B061EE" w:rsidRPr="009E21DC">
              <w:rPr>
                <w:rStyle w:val="Hyperlink"/>
              </w:rPr>
              <w:t>Data Set Summary</w:t>
            </w:r>
            <w:r w:rsidR="00B061EE" w:rsidRPr="009E21DC">
              <w:rPr>
                <w:webHidden/>
              </w:rPr>
              <w:tab/>
            </w:r>
            <w:r w:rsidR="00B061EE" w:rsidRPr="009E21DC">
              <w:rPr>
                <w:rStyle w:val="Hyperlink"/>
              </w:rPr>
              <w:fldChar w:fldCharType="begin"/>
            </w:r>
            <w:r w:rsidR="00B061EE" w:rsidRPr="009E21DC">
              <w:rPr>
                <w:webHidden/>
              </w:rPr>
              <w:instrText xml:space="preserve"> PAGEREF _Toc2116212 \h </w:instrText>
            </w:r>
            <w:r w:rsidR="00B061EE" w:rsidRPr="009E21DC">
              <w:rPr>
                <w:rStyle w:val="Hyperlink"/>
              </w:rPr>
            </w:r>
            <w:r w:rsidR="00B061EE" w:rsidRPr="009E21DC">
              <w:rPr>
                <w:rStyle w:val="Hyperlink"/>
              </w:rPr>
              <w:fldChar w:fldCharType="separate"/>
            </w:r>
            <w:r w:rsidR="00611C7D" w:rsidRPr="009E21DC">
              <w:rPr>
                <w:webHidden/>
              </w:rPr>
              <w:t>7</w:t>
            </w:r>
            <w:r w:rsidR="00B061EE" w:rsidRPr="009E21DC">
              <w:rPr>
                <w:rStyle w:val="Hyperlink"/>
              </w:rPr>
              <w:fldChar w:fldCharType="end"/>
            </w:r>
          </w:hyperlink>
        </w:p>
        <w:p w:rsidR="00B061EE" w:rsidRPr="009E21DC" w:rsidRDefault="000D2C04">
          <w:pPr>
            <w:pStyle w:val="TOC1"/>
            <w:rPr>
              <w:rFonts w:eastAsiaTheme="minorEastAsia"/>
              <w:b w:val="0"/>
              <w:bCs w:val="0"/>
              <w:color w:val="auto"/>
            </w:rPr>
          </w:pPr>
          <w:hyperlink w:anchor="_Toc2116213" w:history="1">
            <w:r w:rsidR="00B061EE" w:rsidRPr="009E21DC">
              <w:rPr>
                <w:rStyle w:val="Hyperlink"/>
              </w:rPr>
              <w:t>3.</w:t>
            </w:r>
            <w:r w:rsidR="00B061EE" w:rsidRPr="009E21DC">
              <w:rPr>
                <w:rFonts w:eastAsiaTheme="minorEastAsia"/>
                <w:b w:val="0"/>
                <w:bCs w:val="0"/>
                <w:color w:val="auto"/>
              </w:rPr>
              <w:tab/>
            </w:r>
            <w:r w:rsidR="00B061EE" w:rsidRPr="009E21DC">
              <w:rPr>
                <w:rStyle w:val="Hyperlink"/>
              </w:rPr>
              <w:t>Data Set Details</w:t>
            </w:r>
            <w:r w:rsidR="00B061EE" w:rsidRPr="009E21DC">
              <w:rPr>
                <w:webHidden/>
              </w:rPr>
              <w:tab/>
            </w:r>
            <w:r w:rsidR="00B061EE" w:rsidRPr="009E21DC">
              <w:rPr>
                <w:rStyle w:val="Hyperlink"/>
              </w:rPr>
              <w:fldChar w:fldCharType="begin"/>
            </w:r>
            <w:r w:rsidR="00B061EE" w:rsidRPr="009E21DC">
              <w:rPr>
                <w:webHidden/>
              </w:rPr>
              <w:instrText xml:space="preserve"> PAGEREF _Toc2116213 \h </w:instrText>
            </w:r>
            <w:r w:rsidR="00B061EE" w:rsidRPr="009E21DC">
              <w:rPr>
                <w:rStyle w:val="Hyperlink"/>
              </w:rPr>
            </w:r>
            <w:r w:rsidR="00B061EE" w:rsidRPr="009E21DC">
              <w:rPr>
                <w:rStyle w:val="Hyperlink"/>
              </w:rPr>
              <w:fldChar w:fldCharType="separate"/>
            </w:r>
            <w:r w:rsidR="00611C7D" w:rsidRPr="009E21DC">
              <w:rPr>
                <w:webHidden/>
              </w:rPr>
              <w:t>8</w:t>
            </w:r>
            <w:r w:rsidR="00B061EE" w:rsidRPr="009E21DC">
              <w:rPr>
                <w:rStyle w:val="Hyperlink"/>
              </w:rPr>
              <w:fldChar w:fldCharType="end"/>
            </w:r>
          </w:hyperlink>
        </w:p>
        <w:p w:rsidR="00B061EE" w:rsidRPr="009E21DC" w:rsidRDefault="000D2C04" w:rsidP="009E21DC">
          <w:pPr>
            <w:pStyle w:val="TOC2"/>
            <w:rPr>
              <w:rFonts w:eastAsiaTheme="minorEastAsia"/>
            </w:rPr>
          </w:pPr>
          <w:hyperlink w:anchor="_Toc2116214" w:history="1">
            <w:r w:rsidR="00B061EE" w:rsidRPr="009E21DC">
              <w:rPr>
                <w:rStyle w:val="Hyperlink"/>
                <w:color w:val="00B050"/>
              </w:rPr>
              <w:t>1.</w:t>
            </w:r>
            <w:r w:rsidR="00B061EE" w:rsidRPr="009E21DC">
              <w:rPr>
                <w:rFonts w:eastAsiaTheme="minorEastAsia"/>
              </w:rPr>
              <w:tab/>
            </w:r>
            <w:r w:rsidR="00B061EE" w:rsidRPr="009E21DC">
              <w:rPr>
                <w:rStyle w:val="Hyperlink"/>
                <w:color w:val="00B050"/>
              </w:rPr>
              <w:t>Data Set: Mortgage Loan</w:t>
            </w:r>
            <w:r w:rsidR="00B061EE" w:rsidRPr="009E21DC">
              <w:rPr>
                <w:webHidden/>
              </w:rPr>
              <w:tab/>
            </w:r>
            <w:r w:rsidR="00B061EE" w:rsidRPr="009E21DC">
              <w:rPr>
                <w:rStyle w:val="Hyperlink"/>
                <w:color w:val="00B050"/>
              </w:rPr>
              <w:fldChar w:fldCharType="begin"/>
            </w:r>
            <w:r w:rsidR="00B061EE" w:rsidRPr="009E21DC">
              <w:rPr>
                <w:webHidden/>
              </w:rPr>
              <w:instrText xml:space="preserve"> PAGEREF _Toc2116214 \h </w:instrText>
            </w:r>
            <w:r w:rsidR="00B061EE" w:rsidRPr="009E21DC">
              <w:rPr>
                <w:rStyle w:val="Hyperlink"/>
                <w:color w:val="00B050"/>
              </w:rPr>
            </w:r>
            <w:r w:rsidR="00B061EE" w:rsidRPr="009E21DC">
              <w:rPr>
                <w:rStyle w:val="Hyperlink"/>
                <w:color w:val="00B050"/>
              </w:rPr>
              <w:fldChar w:fldCharType="separate"/>
            </w:r>
            <w:r w:rsidR="00611C7D" w:rsidRPr="009E21DC">
              <w:rPr>
                <w:webHidden/>
              </w:rPr>
              <w:t>8</w:t>
            </w:r>
            <w:r w:rsidR="00B061EE" w:rsidRPr="009E21DC">
              <w:rPr>
                <w:rStyle w:val="Hyperlink"/>
                <w:color w:val="00B050"/>
              </w:rPr>
              <w:fldChar w:fldCharType="end"/>
            </w:r>
          </w:hyperlink>
        </w:p>
        <w:p w:rsidR="00B061EE" w:rsidRPr="009E21DC" w:rsidRDefault="000D2C04">
          <w:pPr>
            <w:pStyle w:val="TOC1"/>
            <w:rPr>
              <w:rFonts w:eastAsiaTheme="minorEastAsia"/>
              <w:b w:val="0"/>
              <w:bCs w:val="0"/>
              <w:color w:val="auto"/>
            </w:rPr>
          </w:pPr>
          <w:hyperlink w:anchor="_Toc2116215" w:history="1">
            <w:r w:rsidR="00B061EE" w:rsidRPr="009E21DC">
              <w:rPr>
                <w:rStyle w:val="Hyperlink"/>
              </w:rPr>
              <w:t>4.</w:t>
            </w:r>
            <w:r w:rsidR="00B061EE" w:rsidRPr="009E21DC">
              <w:rPr>
                <w:rFonts w:eastAsiaTheme="minorEastAsia"/>
                <w:b w:val="0"/>
                <w:bCs w:val="0"/>
                <w:color w:val="auto"/>
              </w:rPr>
              <w:tab/>
            </w:r>
            <w:r w:rsidR="00B061EE" w:rsidRPr="009E21DC">
              <w:rPr>
                <w:rStyle w:val="Hyperlink"/>
              </w:rPr>
              <w:t>Appendix A. Data Type</w:t>
            </w:r>
            <w:r w:rsidR="00B061EE" w:rsidRPr="009E21DC">
              <w:rPr>
                <w:webHidden/>
              </w:rPr>
              <w:tab/>
            </w:r>
            <w:r w:rsidR="00B061EE" w:rsidRPr="009E21DC">
              <w:rPr>
                <w:rStyle w:val="Hyperlink"/>
              </w:rPr>
              <w:fldChar w:fldCharType="begin"/>
            </w:r>
            <w:r w:rsidR="00B061EE" w:rsidRPr="009E21DC">
              <w:rPr>
                <w:webHidden/>
              </w:rPr>
              <w:instrText xml:space="preserve"> PAGEREF _Toc2116215 \h </w:instrText>
            </w:r>
            <w:r w:rsidR="00B061EE" w:rsidRPr="009E21DC">
              <w:rPr>
                <w:rStyle w:val="Hyperlink"/>
              </w:rPr>
            </w:r>
            <w:r w:rsidR="00B061EE" w:rsidRPr="009E21DC">
              <w:rPr>
                <w:rStyle w:val="Hyperlink"/>
              </w:rPr>
              <w:fldChar w:fldCharType="separate"/>
            </w:r>
            <w:r w:rsidR="00611C7D" w:rsidRPr="009E21DC">
              <w:rPr>
                <w:webHidden/>
              </w:rPr>
              <w:t>13</w:t>
            </w:r>
            <w:r w:rsidR="00B061EE" w:rsidRPr="009E21DC">
              <w:rPr>
                <w:rStyle w:val="Hyperlink"/>
              </w:rPr>
              <w:fldChar w:fldCharType="end"/>
            </w:r>
          </w:hyperlink>
        </w:p>
        <w:p w:rsidR="00302003" w:rsidRPr="009E21DC" w:rsidRDefault="00B061EE">
          <w:r w:rsidRPr="009E21DC">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2116211"/>
      <w:r w:rsidRPr="001E0B5A">
        <w:rPr>
          <w:rFonts w:ascii="Tahoma" w:hAnsi="Tahoma" w:cs="Tahoma"/>
          <w:sz w:val="20"/>
          <w:szCs w:val="20"/>
        </w:rPr>
        <w:lastRenderedPageBreak/>
        <w:t>Document Overview</w:t>
      </w:r>
      <w:bookmarkEnd w:id="2"/>
      <w:bookmarkEnd w:id="3"/>
      <w:bookmarkEnd w:id="4"/>
      <w:bookmarkEnd w:id="5"/>
      <w:bookmarkEnd w:id="6"/>
      <w:bookmarkEnd w:id="7"/>
      <w:bookmarkEnd w:id="1"/>
    </w:p>
    <w:p w:rsidR="00B655CA" w:rsidRDefault="00B655CA" w:rsidP="001E0B5A">
      <w:pPr>
        <w:pStyle w:val="BodyText"/>
        <w:spacing w:line="440" w:lineRule="exact"/>
        <w:ind w:right="518"/>
        <w:jc w:val="both"/>
        <w:rPr>
          <w:sz w:val="20"/>
          <w:szCs w:val="20"/>
        </w:rPr>
      </w:pPr>
      <w:bookmarkStart w:id="8" w:name="_Toc361140815"/>
      <w:bookmarkStart w:id="9"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lastRenderedPageBreak/>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w:t>
      </w:r>
      <w:proofErr w:type="spellStart"/>
      <w:r w:rsidR="00B655CA">
        <w:rPr>
          <w:szCs w:val="24"/>
        </w:rPr>
        <w:t>Foncier</w:t>
      </w:r>
      <w:proofErr w:type="spellEnd"/>
      <w:r w:rsidR="00B655CA">
        <w:rPr>
          <w:szCs w:val="24"/>
        </w:rPr>
        <w:t>.</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Pr>
          <w:szCs w:val="24"/>
        </w:rPr>
        <w:t>foncier</w:t>
      </w:r>
      <w:proofErr w:type="spellEnd"/>
      <w:r w:rsidR="00B655CA">
        <w:rPr>
          <w:szCs w:val="24"/>
        </w:rPr>
        <w:t xml:space="preserve">. The example of Non-FI are credit card company, personal loan company under BOT supervision, </w:t>
      </w:r>
      <w:proofErr w:type="spellStart"/>
      <w:r w:rsidR="00B655CA">
        <w:rPr>
          <w:szCs w:val="24"/>
        </w:rPr>
        <w:t>nano</w:t>
      </w:r>
      <w:proofErr w:type="spellEnd"/>
      <w:r w:rsidR="00B655CA">
        <w:rPr>
          <w:szCs w:val="24"/>
        </w:rPr>
        <w:t xml:space="preserve">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2116212"/>
      <w:r w:rsidRPr="001E0B5A">
        <w:rPr>
          <w:rFonts w:ascii="Tahoma" w:hAnsi="Tahoma" w:cs="Tahoma"/>
          <w:sz w:val="20"/>
          <w:szCs w:val="20"/>
        </w:rPr>
        <w:lastRenderedPageBreak/>
        <w:t>Data Set Summary</w:t>
      </w:r>
      <w:bookmarkEnd w:id="8"/>
      <w:bookmarkEnd w:id="9"/>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1E0B5A" w:rsidRPr="00B81450" w:rsidTr="00ED59D5">
        <w:tc>
          <w:tcPr>
            <w:tcW w:w="3235" w:type="dxa"/>
            <w:tcBorders>
              <w:top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Frequency</w:t>
            </w:r>
          </w:p>
        </w:tc>
        <w:tc>
          <w:tcPr>
            <w:tcW w:w="2790" w:type="dxa"/>
            <w:tcBorders>
              <w:top w:val="single" w:sz="4" w:space="0" w:color="auto"/>
              <w:left w:val="single" w:sz="4" w:space="0" w:color="auto"/>
              <w:bottom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Description</w:t>
            </w:r>
          </w:p>
        </w:tc>
      </w:tr>
      <w:tr w:rsidR="001E0B5A" w:rsidRPr="00B81450" w:rsidTr="00ED59D5">
        <w:tc>
          <w:tcPr>
            <w:tcW w:w="3235" w:type="dxa"/>
            <w:tcBorders>
              <w:top w:val="single" w:sz="4" w:space="0" w:color="auto"/>
            </w:tcBorders>
          </w:tcPr>
          <w:p w:rsidR="001E0B5A" w:rsidRPr="00F372F9" w:rsidRDefault="001E0B5A" w:rsidP="00A25B7B">
            <w:pPr>
              <w:spacing w:before="120" w:line="360" w:lineRule="auto"/>
            </w:pPr>
            <w:r w:rsidRPr="00F372F9">
              <w:rPr>
                <w:cs/>
              </w:rPr>
              <w:t>สินเชื่อที่มีที่อยู่อาศัยเป็น</w:t>
            </w:r>
            <w:r w:rsidR="00895CB2">
              <w:rPr>
                <w:rFonts w:hint="cs"/>
                <w:cs/>
              </w:rPr>
              <w:t>ห</w:t>
            </w:r>
            <w:r w:rsidRPr="00F372F9">
              <w:rPr>
                <w:cs/>
              </w:rPr>
              <w:t>ลักประกัน</w:t>
            </w:r>
          </w:p>
        </w:tc>
        <w:tc>
          <w:tcPr>
            <w:tcW w:w="2343" w:type="dxa"/>
            <w:tcBorders>
              <w:top w:val="single" w:sz="4" w:space="0" w:color="auto"/>
            </w:tcBorders>
          </w:tcPr>
          <w:p w:rsidR="001E0B5A" w:rsidRPr="00F372F9" w:rsidRDefault="001E0B5A" w:rsidP="00CE7DDF">
            <w:pPr>
              <w:spacing w:before="120" w:line="360" w:lineRule="auto"/>
              <w:jc w:val="center"/>
            </w:pPr>
            <w:r w:rsidRPr="00F372F9">
              <w:t>D</w:t>
            </w:r>
            <w:r w:rsidR="00CE7DDF">
              <w:t>F</w:t>
            </w:r>
            <w:r w:rsidRPr="00F372F9">
              <w:t>_MGL</w:t>
            </w:r>
          </w:p>
        </w:tc>
        <w:tc>
          <w:tcPr>
            <w:tcW w:w="2790" w:type="dxa"/>
            <w:tcBorders>
              <w:top w:val="single" w:sz="4" w:space="0" w:color="auto"/>
            </w:tcBorders>
          </w:tcPr>
          <w:p w:rsidR="001E0B5A" w:rsidRPr="00F372F9" w:rsidRDefault="001E0B5A" w:rsidP="00A25B7B">
            <w:pPr>
              <w:spacing w:before="120" w:line="360" w:lineRule="auto"/>
              <w:jc w:val="center"/>
            </w:pPr>
            <w:r w:rsidRPr="00F372F9">
              <w:t>Monthly</w:t>
            </w:r>
          </w:p>
        </w:tc>
        <w:tc>
          <w:tcPr>
            <w:tcW w:w="2790" w:type="dxa"/>
            <w:tcBorders>
              <w:top w:val="single" w:sz="4" w:space="0" w:color="auto"/>
            </w:tcBorders>
          </w:tcPr>
          <w:p w:rsidR="001E0B5A" w:rsidRPr="00F372F9" w:rsidRDefault="001E0B5A" w:rsidP="00A25B7B">
            <w:pPr>
              <w:spacing w:before="120" w:line="360" w:lineRule="auto"/>
              <w:jc w:val="center"/>
            </w:pPr>
            <w:r w:rsidRPr="00F372F9">
              <w:t>Monthly</w:t>
            </w:r>
          </w:p>
        </w:tc>
        <w:tc>
          <w:tcPr>
            <w:tcW w:w="2790" w:type="dxa"/>
            <w:tcBorders>
              <w:top w:val="single" w:sz="4" w:space="0" w:color="auto"/>
            </w:tcBorders>
          </w:tcPr>
          <w:p w:rsidR="001E0B5A" w:rsidRPr="00F372F9" w:rsidRDefault="001E0B5A" w:rsidP="00A25B7B">
            <w:pPr>
              <w:spacing w:before="120" w:line="360" w:lineRule="auto"/>
              <w:jc w:val="center"/>
            </w:pPr>
          </w:p>
        </w:tc>
      </w:tr>
      <w:tr w:rsidR="001E0B5A" w:rsidRPr="00B81450" w:rsidTr="00ED59D5">
        <w:tc>
          <w:tcPr>
            <w:tcW w:w="3235" w:type="dxa"/>
          </w:tcPr>
          <w:p w:rsidR="001E0B5A" w:rsidRPr="00BB2319" w:rsidRDefault="001E0B5A" w:rsidP="00A25B7B">
            <w:pPr>
              <w:spacing w:before="120" w:line="360" w:lineRule="auto"/>
            </w:pPr>
          </w:p>
        </w:tc>
        <w:tc>
          <w:tcPr>
            <w:tcW w:w="2343"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r>
    </w:tbl>
    <w:p w:rsidR="001E0B5A" w:rsidRPr="001E0B5A" w:rsidRDefault="001E0B5A" w:rsidP="001E0B5A"/>
    <w:p w:rsidR="003D34A9"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2116213"/>
      <w:r w:rsidRPr="001E0B5A">
        <w:rPr>
          <w:rFonts w:ascii="Tahoma" w:hAnsi="Tahoma" w:cs="Tahoma"/>
          <w:sz w:val="20"/>
          <w:szCs w:val="20"/>
        </w:rPr>
        <w:lastRenderedPageBreak/>
        <w:t xml:space="preserve">Data Set </w:t>
      </w:r>
      <w:bookmarkEnd w:id="14"/>
      <w:r w:rsidR="00A05A36" w:rsidRPr="001E0B5A">
        <w:rPr>
          <w:rFonts w:ascii="Tahoma" w:hAnsi="Tahoma" w:cs="Tahoma"/>
          <w:sz w:val="20"/>
          <w:szCs w:val="20"/>
        </w:rPr>
        <w:t>Details</w:t>
      </w:r>
      <w:bookmarkEnd w:id="15"/>
      <w:bookmarkEnd w:id="16"/>
      <w:bookmarkEnd w:id="17"/>
      <w:bookmarkEnd w:id="18"/>
      <w:bookmarkEnd w:id="19"/>
    </w:p>
    <w:p w:rsidR="001E0B5A" w:rsidRPr="001E0B5A" w:rsidRDefault="001E0B5A" w:rsidP="001E0B5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2116214"/>
      <w:r w:rsidRPr="001E0B5A">
        <w:rPr>
          <w:rFonts w:ascii="Tahoma" w:hAnsi="Tahoma" w:cs="Tahoma"/>
          <w:i w:val="0"/>
          <w:iCs w:val="0"/>
          <w:color w:val="000000" w:themeColor="text1"/>
          <w:sz w:val="20"/>
          <w:szCs w:val="20"/>
        </w:rPr>
        <w:t xml:space="preserve">Data Set: </w:t>
      </w:r>
      <w:bookmarkEnd w:id="20"/>
      <w:r w:rsidR="00F372F9">
        <w:rPr>
          <w:rFonts w:ascii="Tahoma" w:hAnsi="Tahoma" w:cs="Tahoma"/>
          <w:b w:val="0"/>
          <w:bCs w:val="0"/>
          <w:i w:val="0"/>
          <w:iCs w:val="0"/>
          <w:color w:val="000000" w:themeColor="text1"/>
          <w:sz w:val="20"/>
          <w:szCs w:val="20"/>
        </w:rPr>
        <w:t>Mortgage</w:t>
      </w:r>
      <w:r w:rsidR="000B06DA">
        <w:rPr>
          <w:rFonts w:ascii="Tahoma" w:hAnsi="Tahoma" w:cs="Tahoma"/>
          <w:b w:val="0"/>
          <w:bCs w:val="0"/>
          <w:i w:val="0"/>
          <w:iCs w:val="0"/>
          <w:color w:val="000000" w:themeColor="text1"/>
          <w:sz w:val="20"/>
          <w:szCs w:val="20"/>
        </w:rPr>
        <w:t xml:space="preserve"> Loan</w:t>
      </w:r>
      <w:bookmarkEnd w:id="21"/>
    </w:p>
    <w:p w:rsidR="005C2FD6" w:rsidRPr="001E0B5A" w:rsidRDefault="001E0B5A" w:rsidP="001E0B5A">
      <w:pPr>
        <w:pStyle w:val="ListParagraph"/>
        <w:spacing w:after="240" w:line="440" w:lineRule="exact"/>
        <w:rPr>
          <w:b/>
          <w:bCs/>
        </w:rPr>
      </w:pPr>
      <w:r w:rsidRPr="001E0B5A">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บค.</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5D5DC1"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1</w:t>
            </w:r>
          </w:p>
        </w:tc>
        <w:tc>
          <w:tcPr>
            <w:tcW w:w="720" w:type="dxa"/>
            <w:tcBorders>
              <w:top w:val="single" w:sz="4" w:space="0" w:color="auto"/>
            </w:tcBorders>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Borders>
              <w:top w:val="single" w:sz="4" w:space="0" w:color="auto"/>
            </w:tcBorders>
          </w:tcPr>
          <w:p w:rsidR="005D5DC1" w:rsidRPr="007B3071" w:rsidRDefault="005D5DC1" w:rsidP="005D5DC1">
            <w:pPr>
              <w:spacing w:before="120" w:line="360" w:lineRule="auto"/>
            </w:pPr>
            <w:r>
              <w:t>Data S</w:t>
            </w:r>
            <w:r w:rsidRPr="00BD03D9">
              <w:t>et Date</w:t>
            </w:r>
          </w:p>
        </w:tc>
        <w:tc>
          <w:tcPr>
            <w:tcW w:w="1440" w:type="dxa"/>
            <w:tcBorders>
              <w:top w:val="single" w:sz="4" w:space="0" w:color="auto"/>
            </w:tcBorders>
          </w:tcPr>
          <w:p w:rsidR="005D5DC1" w:rsidRPr="007B3071" w:rsidRDefault="005D5DC1" w:rsidP="005D5DC1">
            <w:pPr>
              <w:pStyle w:val="Footer"/>
              <w:tabs>
                <w:tab w:val="clear" w:pos="4153"/>
                <w:tab w:val="clear" w:pos="8306"/>
              </w:tabs>
              <w:spacing w:before="120" w:line="360" w:lineRule="auto"/>
            </w:pPr>
            <w:r>
              <w:t>Date</w:t>
            </w:r>
          </w:p>
        </w:tc>
        <w:tc>
          <w:tcPr>
            <w:tcW w:w="3510" w:type="dxa"/>
            <w:tcBorders>
              <w:top w:val="single" w:sz="4" w:space="0" w:color="auto"/>
            </w:tcBorders>
          </w:tcPr>
          <w:p w:rsidR="005D5DC1" w:rsidRPr="007B3071" w:rsidRDefault="005D5DC1" w:rsidP="005D5DC1">
            <w:pPr>
              <w:tabs>
                <w:tab w:val="left" w:pos="360"/>
              </w:tabs>
              <w:spacing w:before="120" w:line="360" w:lineRule="auto"/>
              <w:rPr>
                <w:cs/>
              </w:rPr>
            </w:pPr>
            <w:r w:rsidRPr="00AA76AF">
              <w:rPr>
                <w:cs/>
              </w:rPr>
              <w:t>วันที่ของชุดข้อมูล</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Default="005D5DC1" w:rsidP="005D5DC1">
            <w:pPr>
              <w:pStyle w:val="Footer"/>
              <w:tabs>
                <w:tab w:val="clear" w:pos="4153"/>
                <w:tab w:val="clear" w:pos="8306"/>
              </w:tabs>
              <w:spacing w:before="120" w:line="360" w:lineRule="auto"/>
              <w:jc w:val="center"/>
            </w:pPr>
            <w:r>
              <w:rPr>
                <w:rFonts w:hint="cs"/>
                <w:cs/>
              </w:rPr>
              <w:t>-</w:t>
            </w:r>
          </w:p>
        </w:tc>
        <w:tc>
          <w:tcPr>
            <w:tcW w:w="1173" w:type="dxa"/>
            <w:tcBorders>
              <w:top w:val="single" w:sz="4" w:space="0" w:color="auto"/>
            </w:tcBorders>
          </w:tcPr>
          <w:p w:rsidR="005D5DC1" w:rsidRPr="007B3071" w:rsidRDefault="005D5DC1" w:rsidP="005D5DC1">
            <w:pPr>
              <w:pStyle w:val="Footer"/>
              <w:tabs>
                <w:tab w:val="clear" w:pos="4153"/>
                <w:tab w:val="clear" w:pos="8306"/>
              </w:tabs>
              <w:spacing w:before="120" w:line="360" w:lineRule="auto"/>
              <w:jc w:val="center"/>
              <w:rPr>
                <w:cs/>
              </w:rPr>
            </w:pPr>
            <w:r>
              <w:t>Y</w:t>
            </w:r>
          </w:p>
        </w:tc>
        <w:tc>
          <w:tcPr>
            <w:tcW w:w="1890" w:type="dxa"/>
            <w:tcBorders>
              <w:top w:val="single" w:sz="4" w:space="0" w:color="auto"/>
            </w:tcBorders>
          </w:tcPr>
          <w:p w:rsidR="005D5DC1" w:rsidRPr="00D76ED1" w:rsidRDefault="005D5DC1" w:rsidP="005D5DC1">
            <w:pPr>
              <w:spacing w:before="120" w:line="360" w:lineRule="auto"/>
              <w:rPr>
                <w:cs/>
              </w:rPr>
            </w:pPr>
          </w:p>
        </w:tc>
      </w:tr>
      <w:tr w:rsidR="005D5DC1" w:rsidRPr="007B3071" w:rsidTr="00CE1FC0">
        <w:trPr>
          <w:trHeight w:val="251"/>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Organization Id</w:t>
            </w:r>
          </w:p>
        </w:tc>
        <w:tc>
          <w:tcPr>
            <w:tcW w:w="1440" w:type="dxa"/>
          </w:tcPr>
          <w:p w:rsidR="005D5DC1" w:rsidRPr="007B3071" w:rsidRDefault="005D5DC1" w:rsidP="005D5DC1">
            <w:pPr>
              <w:spacing w:before="120" w:line="360" w:lineRule="auto"/>
              <w:rPr>
                <w:cs/>
              </w:rPr>
            </w:pPr>
            <w:r>
              <w:t>FI Code</w:t>
            </w:r>
          </w:p>
        </w:tc>
        <w:tc>
          <w:tcPr>
            <w:tcW w:w="3510" w:type="dxa"/>
          </w:tcPr>
          <w:p w:rsidR="005D5DC1" w:rsidRPr="007B3071" w:rsidRDefault="005D5DC1" w:rsidP="005D5DC1">
            <w:pPr>
              <w:pStyle w:val="Footer"/>
              <w:tabs>
                <w:tab w:val="clear" w:pos="4153"/>
                <w:tab w:val="clear" w:pos="8306"/>
              </w:tabs>
              <w:spacing w:before="120" w:line="360" w:lineRule="auto"/>
              <w:rPr>
                <w:cs/>
                <w:lang w:val="en-GB"/>
              </w:rPr>
            </w:pPr>
            <w:r w:rsidRPr="00AA76AF">
              <w:rPr>
                <w:cs/>
              </w:rPr>
              <w:t>รหัสสถาบันการเงินผู้ส่งข้อมูล</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Default="005D5DC1" w:rsidP="005D5DC1">
            <w:pPr>
              <w:spacing w:before="120" w:line="360" w:lineRule="auto"/>
              <w:jc w:val="center"/>
              <w:rPr>
                <w:cs/>
                <w:lang w:val="en-GB"/>
              </w:rPr>
            </w:pPr>
            <w:r>
              <w:rPr>
                <w:rFonts w:hint="cs"/>
                <w:cs/>
              </w:rPr>
              <w:t>-</w:t>
            </w:r>
          </w:p>
        </w:tc>
        <w:tc>
          <w:tcPr>
            <w:tcW w:w="1173" w:type="dxa"/>
          </w:tcPr>
          <w:p w:rsidR="005D5DC1" w:rsidRPr="007B3071" w:rsidRDefault="005D5DC1" w:rsidP="005D5DC1">
            <w:pPr>
              <w:spacing w:before="120" w:line="360" w:lineRule="auto"/>
              <w:jc w:val="center"/>
              <w:rPr>
                <w:cs/>
                <w:lang w:val="en-GB"/>
              </w:rPr>
            </w:pPr>
            <w:r>
              <w:rPr>
                <w:lang w:val="en-GB"/>
              </w:rPr>
              <w:t>Y</w:t>
            </w:r>
          </w:p>
        </w:tc>
        <w:tc>
          <w:tcPr>
            <w:tcW w:w="1890" w:type="dxa"/>
          </w:tcPr>
          <w:p w:rsidR="005D5DC1" w:rsidRPr="00D76ED1" w:rsidRDefault="005D5DC1" w:rsidP="005D5DC1">
            <w:pPr>
              <w:pStyle w:val="Footer"/>
              <w:tabs>
                <w:tab w:val="clear" w:pos="4153"/>
                <w:tab w:val="clear" w:pos="8306"/>
              </w:tabs>
              <w:spacing w:before="120" w:line="360" w:lineRule="auto"/>
              <w:rPr>
                <w:cs/>
                <w:lang w:val="en-GB"/>
              </w:rPr>
            </w:pPr>
          </w:p>
        </w:tc>
      </w:tr>
      <w:tr w:rsidR="005D5DC1" w:rsidRPr="007B3071" w:rsidTr="00CE1FC0">
        <w:trPr>
          <w:trHeight w:val="157"/>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Draw Down Date</w:t>
            </w:r>
          </w:p>
        </w:tc>
        <w:tc>
          <w:tcPr>
            <w:tcW w:w="1440" w:type="dxa"/>
          </w:tcPr>
          <w:p w:rsidR="005D5DC1" w:rsidRPr="007B3071" w:rsidRDefault="005D5DC1" w:rsidP="005D5DC1">
            <w:pPr>
              <w:spacing w:before="120" w:line="360" w:lineRule="auto"/>
              <w:rPr>
                <w:cs/>
              </w:rPr>
            </w:pPr>
            <w:r>
              <w:t>Date</w:t>
            </w:r>
          </w:p>
        </w:tc>
        <w:tc>
          <w:tcPr>
            <w:tcW w:w="3510" w:type="dxa"/>
          </w:tcPr>
          <w:p w:rsidR="005D5DC1" w:rsidRPr="007B3071" w:rsidRDefault="005D5DC1" w:rsidP="005D5DC1">
            <w:pPr>
              <w:spacing w:before="120" w:line="360" w:lineRule="auto"/>
              <w:rPr>
                <w:cs/>
              </w:rPr>
            </w:pPr>
            <w:r w:rsidRPr="00AA76AF">
              <w:rPr>
                <w:cs/>
              </w:rPr>
              <w:t>วันที่เบิกเงินกู้งวดแรก</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251"/>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rPr>
                <w:cs/>
              </w:rPr>
            </w:pPr>
            <w:r w:rsidRPr="00BD03D9">
              <w:t>Reference No.</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Pr="007B3071" w:rsidRDefault="005D5DC1" w:rsidP="005D5DC1">
            <w:pPr>
              <w:spacing w:before="120" w:line="360" w:lineRule="auto"/>
              <w:rPr>
                <w:cs/>
              </w:rPr>
            </w:pPr>
            <w:r w:rsidRPr="00004E54">
              <w:rPr>
                <w:cs/>
              </w:rPr>
              <w:t>เลขที่อ้า</w:t>
            </w:r>
            <w:r>
              <w:rPr>
                <w:cs/>
              </w:rPr>
              <w:t>งอิงภายในของ</w:t>
            </w:r>
            <w:r w:rsidRPr="00004E54">
              <w:rPr>
                <w:cs/>
              </w:rPr>
              <w:t>สถาบันการเงิน เกี่ยวกับสัญญาเงินกู้</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rPr>
                <w:cs/>
              </w:rP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rPr>
                <w:cs/>
              </w:rPr>
            </w:pPr>
            <w:r w:rsidRPr="00BD03D9">
              <w:t>Customer ID</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Default="005D5DC1" w:rsidP="005D5DC1">
            <w:pPr>
              <w:spacing w:before="120" w:line="360" w:lineRule="auto"/>
            </w:pPr>
            <w:r w:rsidRPr="00004E54">
              <w:rPr>
                <w:cs/>
                <w:lang w:val="th-TH"/>
              </w:rPr>
              <w:t>เลขที่บัตรประชาชนของผู้กู้หลัก</w:t>
            </w:r>
          </w:p>
          <w:p w:rsidR="005D5DC1" w:rsidRPr="007B3071" w:rsidRDefault="005D5DC1" w:rsidP="005D5DC1">
            <w:pPr>
              <w:spacing w:line="360" w:lineRule="auto"/>
              <w:rPr>
                <w:cs/>
              </w:rPr>
            </w:pPr>
            <w:r w:rsidRPr="00004E54">
              <w:rPr>
                <w:cs/>
                <w:lang w:val="th-TH"/>
              </w:rPr>
              <w:t xml:space="preserve">กรณีผู้มีถิ่นฐานอยู่ในต่างประเทศ </w:t>
            </w:r>
            <w:r>
              <w:rPr>
                <w:rFonts w:hint="cs"/>
                <w:cs/>
                <w:lang w:val="th-TH"/>
              </w:rPr>
              <w:t>2 หลักแรก</w:t>
            </w:r>
            <w:r>
              <w:rPr>
                <w:cs/>
                <w:lang w:val="th-TH"/>
              </w:rPr>
              <w:t>ให้ใส่รหัสประเทศที่เป็นตัวหนังสือ</w:t>
            </w:r>
            <w:r>
              <w:rPr>
                <w:rFonts w:hint="cs"/>
                <w:cs/>
              </w:rPr>
              <w:t xml:space="preserve"> แล้วตามด้วย</w:t>
            </w:r>
            <w:r w:rsidRPr="00004E54">
              <w:rPr>
                <w:cs/>
                <w:lang w:val="th-TH"/>
              </w:rPr>
              <w:t>ตามด้วยเลขที่หนังสือเดินทาง</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rPr>
                <w:cs/>
              </w:rP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r>
              <w:t>Customer Age</w:t>
            </w:r>
          </w:p>
        </w:tc>
        <w:tc>
          <w:tcPr>
            <w:tcW w:w="1440" w:type="dxa"/>
          </w:tcPr>
          <w:p w:rsidR="005D5DC1" w:rsidRDefault="005D5DC1" w:rsidP="005D5DC1">
            <w:pPr>
              <w:spacing w:before="120" w:line="360" w:lineRule="auto"/>
            </w:pPr>
            <w:r>
              <w:t>Number</w:t>
            </w:r>
          </w:p>
        </w:tc>
        <w:tc>
          <w:tcPr>
            <w:tcW w:w="3510" w:type="dxa"/>
          </w:tcPr>
          <w:p w:rsidR="005D5DC1" w:rsidRPr="00004E54" w:rsidRDefault="005D5DC1" w:rsidP="005D5DC1">
            <w:pPr>
              <w:spacing w:before="120" w:line="360" w:lineRule="auto"/>
              <w:rPr>
                <w:cs/>
                <w:lang w:val="th-TH"/>
              </w:rPr>
            </w:pPr>
            <w:r>
              <w:rPr>
                <w:rFonts w:hint="cs"/>
                <w:cs/>
                <w:lang w:val="th-TH"/>
              </w:rPr>
              <w:t>อายุผู้กู้หลัก</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No. of Customers</w:t>
            </w:r>
          </w:p>
        </w:tc>
        <w:tc>
          <w:tcPr>
            <w:tcW w:w="1440" w:type="dxa"/>
          </w:tcPr>
          <w:p w:rsidR="005D5DC1" w:rsidRPr="007B3071" w:rsidRDefault="005D5DC1" w:rsidP="005D5DC1">
            <w:pPr>
              <w:spacing w:before="120" w:line="360" w:lineRule="auto"/>
            </w:pPr>
            <w:r>
              <w:t>Number</w:t>
            </w:r>
          </w:p>
        </w:tc>
        <w:tc>
          <w:tcPr>
            <w:tcW w:w="3510" w:type="dxa"/>
          </w:tcPr>
          <w:p w:rsidR="005D5DC1" w:rsidRPr="007B3071" w:rsidRDefault="005D5DC1" w:rsidP="005D5DC1">
            <w:pPr>
              <w:spacing w:before="120" w:line="360" w:lineRule="auto"/>
              <w:rPr>
                <w:cs/>
              </w:rPr>
            </w:pPr>
            <w:r w:rsidRPr="00930049">
              <w:rPr>
                <w:cs/>
                <w:lang w:val="th-TH"/>
              </w:rPr>
              <w:t>จำนวน</w:t>
            </w:r>
            <w:r>
              <w:rPr>
                <w:cs/>
                <w:lang w:val="th-TH"/>
              </w:rPr>
              <w:t>ผู้กู้ (ผู้กู้หลัก+ผู้กู้ร่วม)</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No. of Guarantors</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Pr>
                <w:cs/>
                <w:lang w:val="th-TH"/>
              </w:rPr>
              <w:t>จำนวนผู้ค้ำประกัน</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lastRenderedPageBreak/>
              <w:t>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Borrower's Income</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611C7D" w:rsidP="005D5DC1">
            <w:pPr>
              <w:spacing w:before="120" w:line="360" w:lineRule="auto"/>
              <w:rPr>
                <w:cs/>
              </w:rPr>
            </w:pPr>
            <w:r w:rsidRPr="00611C7D">
              <w:rPr>
                <w:color w:val="00B050"/>
                <w:cs/>
                <w:lang w:val="th-TH"/>
              </w:rPr>
              <w:t>รายได้รวมของผู้กู้</w:t>
            </w:r>
            <w:r w:rsidRPr="00611C7D">
              <w:rPr>
                <w:rFonts w:hint="cs"/>
                <w:color w:val="00B050"/>
                <w:cs/>
                <w:lang w:val="th-TH"/>
              </w:rPr>
              <w:t>หลักและ</w:t>
            </w:r>
            <w:r w:rsidRPr="00611C7D">
              <w:rPr>
                <w:rFonts w:hint="cs"/>
                <w:color w:val="00B050"/>
                <w:cs/>
              </w:rPr>
              <w:t>ผู้กู้ร่วม</w:t>
            </w:r>
            <w:r w:rsidRPr="00611C7D">
              <w:rPr>
                <w:color w:val="00B050"/>
              </w:rPr>
              <w:t xml:space="preserve"> </w:t>
            </w:r>
            <w:r w:rsidRPr="00611C7D">
              <w:rPr>
                <w:color w:val="00B050"/>
                <w:cs/>
              </w:rPr>
              <w:t>(</w:t>
            </w:r>
            <w:r w:rsidRPr="00611C7D">
              <w:rPr>
                <w:color w:val="00B050"/>
              </w:rPr>
              <w:t>gross income) (</w:t>
            </w:r>
            <w:r w:rsidRPr="00611C7D">
              <w:rPr>
                <w:color w:val="00B050"/>
                <w:cs/>
              </w:rPr>
              <w:t>หน่วย: บาท</w:t>
            </w:r>
            <w:r w:rsidRPr="00611C7D">
              <w:rPr>
                <w:rFonts w:hint="cs"/>
                <w:color w:val="00B050"/>
                <w:cs/>
              </w:rPr>
              <w:t>ต่อเดือน</w:t>
            </w:r>
            <w:r w:rsidRPr="00611C7D">
              <w:rPr>
                <w:color w:val="00B050"/>
                <w:cs/>
              </w:rPr>
              <w:t>)</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FF587B" w:rsidRDefault="005D5DC1" w:rsidP="005D5DC1">
            <w:pPr>
              <w:spacing w:before="120" w:line="360" w:lineRule="auto"/>
              <w:jc w:val="center"/>
              <w:rPr>
                <w:cs/>
              </w:rPr>
            </w:pPr>
            <w:r w:rsidRPr="00FF587B">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Occupation Type</w:t>
            </w:r>
          </w:p>
        </w:tc>
        <w:tc>
          <w:tcPr>
            <w:tcW w:w="1440" w:type="dxa"/>
          </w:tcPr>
          <w:p w:rsidR="005D5DC1" w:rsidRPr="007B3071" w:rsidRDefault="005D5DC1" w:rsidP="005D5DC1">
            <w:pPr>
              <w:spacing w:before="120" w:line="360" w:lineRule="auto"/>
            </w:pPr>
            <w:r>
              <w:t>Classification</w:t>
            </w:r>
            <w:r>
              <w:rPr>
                <w:rFonts w:hint="cs"/>
                <w:cs/>
              </w:rPr>
              <w:t xml:space="preserve"> </w:t>
            </w:r>
            <w:r>
              <w:t>Name</w:t>
            </w:r>
          </w:p>
        </w:tc>
        <w:tc>
          <w:tcPr>
            <w:tcW w:w="3510" w:type="dxa"/>
          </w:tcPr>
          <w:p w:rsidR="005D5DC1" w:rsidRPr="007B3071" w:rsidRDefault="005D5DC1" w:rsidP="005D5DC1">
            <w:pPr>
              <w:spacing w:before="120" w:line="360" w:lineRule="auto"/>
              <w:rPr>
                <w:cs/>
              </w:rPr>
            </w:pPr>
            <w:r w:rsidRPr="00930049">
              <w:rPr>
                <w:cs/>
                <w:lang w:val="th-TH"/>
              </w:rPr>
              <w:t>รหัสอาชีพ</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r w:rsidRPr="00BD03D9">
              <w:t>Occupation Type</w:t>
            </w:r>
            <w:r>
              <w:t xml:space="preserve"> </w:t>
            </w:r>
            <w:r w:rsidRPr="004C7425">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Appraisal Date</w:t>
            </w:r>
          </w:p>
        </w:tc>
        <w:tc>
          <w:tcPr>
            <w:tcW w:w="1440" w:type="dxa"/>
          </w:tcPr>
          <w:p w:rsidR="005D5DC1" w:rsidRPr="007B3071" w:rsidRDefault="005D5DC1" w:rsidP="005D5DC1">
            <w:pPr>
              <w:spacing w:before="120" w:line="360" w:lineRule="auto"/>
            </w:pPr>
            <w:r>
              <w:t>Date</w:t>
            </w:r>
          </w:p>
        </w:tc>
        <w:tc>
          <w:tcPr>
            <w:tcW w:w="3510" w:type="dxa"/>
          </w:tcPr>
          <w:p w:rsidR="005D5DC1" w:rsidRPr="007B3071" w:rsidRDefault="005D5DC1" w:rsidP="005D5DC1">
            <w:pPr>
              <w:spacing w:before="120" w:line="360" w:lineRule="auto"/>
              <w:rPr>
                <w:cs/>
              </w:rPr>
            </w:pPr>
            <w:r w:rsidRPr="00BF6B0E">
              <w:rPr>
                <w:cs/>
                <w:lang w:val="th-TH"/>
              </w:rPr>
              <w:t>วันที่</w:t>
            </w:r>
            <w:r w:rsidRPr="00AA76AF">
              <w:rPr>
                <w:cs/>
                <w:lang w:val="th-TH"/>
              </w:rPr>
              <w:t>ประเมินราคาหลักประกัน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Objective</w:t>
            </w:r>
          </w:p>
        </w:tc>
        <w:tc>
          <w:tcPr>
            <w:tcW w:w="1440" w:type="dxa"/>
          </w:tcPr>
          <w:p w:rsidR="005D5DC1" w:rsidRPr="007B3071" w:rsidRDefault="005D5DC1" w:rsidP="005D5DC1">
            <w:pPr>
              <w:spacing w:before="120" w:line="360" w:lineRule="auto"/>
              <w:rPr>
                <w:cs/>
              </w:rPr>
            </w:pPr>
            <w:r>
              <w:t>Classification Name</w:t>
            </w:r>
          </w:p>
        </w:tc>
        <w:tc>
          <w:tcPr>
            <w:tcW w:w="3510" w:type="dxa"/>
          </w:tcPr>
          <w:p w:rsidR="005D5DC1" w:rsidRPr="007B3071" w:rsidRDefault="005D5DC1" w:rsidP="005D5DC1">
            <w:pPr>
              <w:spacing w:before="120" w:line="360" w:lineRule="auto"/>
              <w:rPr>
                <w:cs/>
              </w:rPr>
            </w:pPr>
            <w:r w:rsidRPr="004653C5">
              <w:rPr>
                <w:cs/>
                <w:lang w:val="th-TH"/>
              </w:rPr>
              <w:t>วัตถุประสงค์หลักในการกู้</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r>
              <w:t>Y</w:t>
            </w:r>
          </w:p>
        </w:tc>
        <w:tc>
          <w:tcPr>
            <w:tcW w:w="1890" w:type="dxa"/>
          </w:tcPr>
          <w:p w:rsidR="005D5DC1" w:rsidRPr="00D76ED1" w:rsidRDefault="005D5DC1" w:rsidP="005D5DC1">
            <w:pPr>
              <w:spacing w:before="120" w:line="360" w:lineRule="auto"/>
              <w:rPr>
                <w:cs/>
              </w:rPr>
            </w:pPr>
            <w:r w:rsidRPr="00BD03D9">
              <w:t>Objective</w:t>
            </w:r>
            <w:r>
              <w:rPr>
                <w:vertAlign w:val="superscript"/>
              </w:rPr>
              <w:t xml:space="preserve"> </w:t>
            </w:r>
            <w:r w:rsidRPr="004C7425">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t xml:space="preserve">Loan </w:t>
            </w:r>
            <w:r w:rsidRPr="00BD03D9">
              <w:t>Amount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E13868">
              <w:rPr>
                <w:cs/>
                <w:lang w:val="th-TH"/>
              </w:rPr>
              <w:t>วงเงินกู้ที่ได้รับอนุมัติ</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Repayment Period (month)</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B9422A">
              <w:rPr>
                <w:cs/>
                <w:lang w:val="th-TH"/>
              </w:rPr>
              <w:t>ระยะเวลาการผ่อนชำระที่สถาบันการเงินใช้ในการคำนวณเงินผ่อนชำระต่องวดให้กับลูกค้าแต่ละราย</w:t>
            </w:r>
            <w:r>
              <w:rPr>
                <w:rFonts w:hint="cs"/>
                <w:cs/>
              </w:rPr>
              <w:t xml:space="preserve"> (เดือน)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Repayment</w:t>
            </w:r>
            <w:r>
              <w:t xml:space="preserve"> Amount</w:t>
            </w:r>
            <w:r w:rsidRPr="00BD03D9">
              <w:t xml:space="preserv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E5031E">
              <w:rPr>
                <w:cs/>
                <w:lang w:val="th-TH"/>
              </w:rPr>
              <w:t xml:space="preserve">จำนวนเงินที่ผ่อนชำระเงินกู้ต่อเดือน </w:t>
            </w:r>
            <w:r w:rsidRPr="00534CEB">
              <w:rPr>
                <w:cs/>
              </w:rPr>
              <w:t>เฉพาะของสัญญาที่รายงาน</w:t>
            </w:r>
            <w:r>
              <w:rPr>
                <w:rFonts w:hint="cs"/>
                <w:cs/>
              </w:rPr>
              <w:t xml:space="preserve"> (บาท)</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Interest Rate (%)</w:t>
            </w:r>
          </w:p>
        </w:tc>
        <w:tc>
          <w:tcPr>
            <w:tcW w:w="1440" w:type="dxa"/>
          </w:tcPr>
          <w:p w:rsidR="005D5DC1" w:rsidRPr="007B3071" w:rsidRDefault="005D5DC1" w:rsidP="005D5DC1">
            <w:pPr>
              <w:spacing w:before="120" w:line="360" w:lineRule="auto"/>
              <w:rPr>
                <w:cs/>
              </w:rPr>
            </w:pPr>
            <w:r>
              <w:t>Interest Rate</w:t>
            </w:r>
          </w:p>
        </w:tc>
        <w:tc>
          <w:tcPr>
            <w:tcW w:w="3510" w:type="dxa"/>
          </w:tcPr>
          <w:p w:rsidR="005D5DC1" w:rsidRPr="007B3071" w:rsidRDefault="005D5DC1" w:rsidP="005D5DC1">
            <w:pPr>
              <w:spacing w:before="120" w:line="360" w:lineRule="auto"/>
            </w:pPr>
            <w:r w:rsidRPr="00342B90">
              <w:rPr>
                <w:cs/>
              </w:rPr>
              <w:t>อัตราดอกเบี้ยที่แท้จริง (</w:t>
            </w:r>
            <w:r w:rsidRPr="00342B90">
              <w:t xml:space="preserve">Effective Interest Rate) </w:t>
            </w:r>
            <w:r w:rsidRPr="00342B90">
              <w:rPr>
                <w:cs/>
              </w:rPr>
              <w:t>ที่คำนวณจากเงินผ่อนชำระตลอดอายุสัญญา</w:t>
            </w:r>
            <w:r>
              <w:rPr>
                <w:rFonts w:hint="cs"/>
                <w:cs/>
              </w:rPr>
              <w:t xml:space="preserve"> (</w:t>
            </w:r>
            <w:r>
              <w:t>Percent)</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lastRenderedPageBreak/>
              <w:t>17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Fixed Rate Period (month)</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534CEB">
              <w:rPr>
                <w:cs/>
              </w:rPr>
              <w:t>ระยะเวลาของอัตราดอกเบี้ยคงที่ที่ให้กับลูกค้า</w:t>
            </w:r>
            <w:r>
              <w:rPr>
                <w:rFonts w:hint="cs"/>
                <w:cs/>
              </w:rPr>
              <w:t xml:space="preserve"> (เดือน)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Other Debt Burden (Baht)</w:t>
            </w:r>
          </w:p>
        </w:tc>
        <w:tc>
          <w:tcPr>
            <w:tcW w:w="1440" w:type="dxa"/>
          </w:tcPr>
          <w:p w:rsidR="005D5DC1" w:rsidRPr="007B3071" w:rsidRDefault="005D5DC1" w:rsidP="005D5DC1">
            <w:pPr>
              <w:spacing w:before="120" w:line="360" w:lineRule="auto"/>
              <w:rPr>
                <w:cs/>
              </w:rPr>
            </w:pPr>
            <w:r>
              <w:t>Amount</w:t>
            </w:r>
          </w:p>
        </w:tc>
        <w:tc>
          <w:tcPr>
            <w:tcW w:w="3510" w:type="dxa"/>
          </w:tcPr>
          <w:p w:rsidR="007A1597" w:rsidRPr="002C0987" w:rsidRDefault="007A1597" w:rsidP="005D5DC1">
            <w:pPr>
              <w:spacing w:before="120" w:line="360" w:lineRule="auto"/>
              <w:rPr>
                <w:cs/>
              </w:rPr>
            </w:pPr>
            <w:r w:rsidRPr="00256F41">
              <w:rPr>
                <w:color w:val="FF0000"/>
                <w:cs/>
              </w:rPr>
              <w:t>ภาระหนี้ที่ลูกค้าต้องผ่อนชำระต่อเดือนที่มีอยู่เดิมก่อนการขอสินเชื่อในครั้งนี้</w:t>
            </w:r>
            <w:r>
              <w:rPr>
                <w:rFonts w:hint="cs"/>
                <w:color w:val="FF0000"/>
                <w:cs/>
              </w:rPr>
              <w:t xml:space="preserve"> </w:t>
            </w:r>
            <w:r w:rsidRPr="00256F41">
              <w:rPr>
                <w:color w:val="FF0000"/>
                <w:cs/>
              </w:rPr>
              <w:t xml:space="preserve">(หน่วย: บาท)  </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Collateral Reference No.</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Pr="007B3071" w:rsidRDefault="005D5DC1" w:rsidP="005D5DC1">
            <w:pPr>
              <w:spacing w:before="120" w:line="360" w:lineRule="auto"/>
              <w:rPr>
                <w:cs/>
              </w:rPr>
            </w:pPr>
            <w:r w:rsidRPr="005D1719">
              <w:rPr>
                <w:cs/>
              </w:rPr>
              <w:t>เลขที่อ้างอิงของหลักประกัน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FC2A0B" w:rsidRDefault="005D5DC1" w:rsidP="005D5DC1">
            <w:pPr>
              <w:spacing w:before="120" w:line="360" w:lineRule="auto"/>
            </w:pPr>
            <w:r>
              <w:t>Order of Housing Loan Contracts</w:t>
            </w:r>
          </w:p>
        </w:tc>
        <w:tc>
          <w:tcPr>
            <w:tcW w:w="1440" w:type="dxa"/>
          </w:tcPr>
          <w:p w:rsidR="005D5DC1" w:rsidRPr="00FC2A0B" w:rsidRDefault="005D5DC1" w:rsidP="005D5DC1">
            <w:pPr>
              <w:spacing w:before="120" w:line="360" w:lineRule="auto"/>
              <w:rPr>
                <w:cs/>
              </w:rPr>
            </w:pPr>
            <w:r w:rsidRPr="00FC2A0B">
              <w:t>Number</w:t>
            </w:r>
          </w:p>
        </w:tc>
        <w:tc>
          <w:tcPr>
            <w:tcW w:w="3510" w:type="dxa"/>
          </w:tcPr>
          <w:p w:rsidR="007A1597" w:rsidRPr="007B3071" w:rsidRDefault="007A1597" w:rsidP="005D5DC1">
            <w:pPr>
              <w:spacing w:before="120" w:line="360" w:lineRule="auto"/>
              <w:rPr>
                <w:cs/>
              </w:rPr>
            </w:pPr>
            <w:r w:rsidRPr="00256F41">
              <w:rPr>
                <w:color w:val="FF0000"/>
                <w:cs/>
              </w:rPr>
              <w:t>ลำดับที่ของสัญญาเงินให้</w:t>
            </w:r>
            <w:r w:rsidRPr="001D6AE4">
              <w:rPr>
                <w:color w:val="FF0000"/>
                <w:cs/>
              </w:rPr>
              <w:t>สินเชื่อ</w:t>
            </w:r>
            <w:r w:rsidRPr="001D6AE4">
              <w:rPr>
                <w:rFonts w:hint="cs"/>
                <w:color w:val="FF0000"/>
                <w:cs/>
              </w:rPr>
              <w:t>เพื่อที่อ</w:t>
            </w:r>
            <w:r w:rsidRPr="001D6AE4">
              <w:rPr>
                <w:color w:val="FF0000"/>
                <w:cs/>
              </w:rPr>
              <w:t>ยู่อาศัย</w:t>
            </w:r>
            <w:r w:rsidRPr="00256F41">
              <w:rPr>
                <w:color w:val="FF0000"/>
                <w:cs/>
              </w:rPr>
              <w:t>ที่ผู้กู้ หรือผู้กู้ร่วม ซื้อและอยู่ระหว่างผ่อนชำระ</w:t>
            </w:r>
          </w:p>
        </w:tc>
        <w:tc>
          <w:tcPr>
            <w:tcW w:w="720" w:type="dxa"/>
          </w:tcPr>
          <w:p w:rsidR="005D5DC1" w:rsidRPr="00AA473A" w:rsidRDefault="00EF6542" w:rsidP="005D5DC1">
            <w:pPr>
              <w:spacing w:before="120" w:line="360" w:lineRule="auto"/>
              <w:jc w:val="center"/>
              <w:rPr>
                <w:color w:val="5B9BD5" w:themeColor="accent1"/>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r>
              <w:t>Date of Sale and Purchase Agreement</w:t>
            </w:r>
          </w:p>
        </w:tc>
        <w:tc>
          <w:tcPr>
            <w:tcW w:w="1440" w:type="dxa"/>
          </w:tcPr>
          <w:p w:rsidR="005D5DC1" w:rsidRDefault="005D5DC1" w:rsidP="005D5DC1">
            <w:pPr>
              <w:spacing w:before="120" w:line="360" w:lineRule="auto"/>
            </w:pPr>
            <w:r>
              <w:t>Date</w:t>
            </w:r>
          </w:p>
        </w:tc>
        <w:tc>
          <w:tcPr>
            <w:tcW w:w="3510" w:type="dxa"/>
          </w:tcPr>
          <w:p w:rsidR="005D5DC1" w:rsidRPr="00A56110" w:rsidRDefault="005D5DC1" w:rsidP="005D5DC1">
            <w:pPr>
              <w:spacing w:before="120" w:line="360" w:lineRule="auto"/>
              <w:rPr>
                <w:cs/>
              </w:rPr>
            </w:pPr>
            <w:r>
              <w:rPr>
                <w:rFonts w:hint="cs"/>
                <w:cs/>
              </w:rPr>
              <w:t>วันที่ของหนังสือสัญญาที่คู่สัญญา (ผู้ซื้อและผู้ขาย)</w:t>
            </w:r>
            <w:r>
              <w:rPr>
                <w:cs/>
              </w:rPr>
              <w:t xml:space="preserve"> ตกลงกันว่า</w:t>
            </w:r>
            <w:r>
              <w:rPr>
                <w:rFonts w:hint="cs"/>
                <w:cs/>
              </w:rPr>
              <w:t>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rPr>
                <w:cs/>
              </w:rPr>
            </w:pPr>
            <w: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LTV Ratio</w:t>
            </w:r>
          </w:p>
        </w:tc>
        <w:tc>
          <w:tcPr>
            <w:tcW w:w="1440" w:type="dxa"/>
          </w:tcPr>
          <w:p w:rsidR="005D5DC1" w:rsidRPr="00FC2A0B" w:rsidRDefault="005D5DC1" w:rsidP="005D5DC1">
            <w:pPr>
              <w:spacing w:before="120" w:line="360" w:lineRule="auto"/>
            </w:pPr>
            <w:r w:rsidRPr="00FC2A0B">
              <w:t>Percentage</w:t>
            </w:r>
          </w:p>
        </w:tc>
        <w:tc>
          <w:tcPr>
            <w:tcW w:w="3510" w:type="dxa"/>
          </w:tcPr>
          <w:p w:rsidR="005D5DC1" w:rsidRPr="00FC2A0B" w:rsidRDefault="005D5DC1" w:rsidP="005D5DC1">
            <w:pPr>
              <w:spacing w:before="120" w:line="360" w:lineRule="auto"/>
            </w:pPr>
            <w:r w:rsidRPr="00FC2A0B">
              <w:rPr>
                <w:cs/>
                <w:lang w:val="th-TH"/>
              </w:rPr>
              <w:t>อัตราส่วนเงินให้สินเชื่อต่อมูลค่าหลักประกัน</w:t>
            </w:r>
            <w:r w:rsidRPr="00FC2A0B">
              <w:rPr>
                <w:rFonts w:hint="cs"/>
                <w:cs/>
                <w:lang w:val="th-TH"/>
              </w:rPr>
              <w:t xml:space="preserve"> โดยมีวิธีการคำนวณตาม</w:t>
            </w:r>
            <w:r w:rsidRPr="00FC2A0B">
              <w:rPr>
                <w:cs/>
                <w:lang w:val="th-TH"/>
              </w:rPr>
              <w:t>ประกาศธนาคารแห่งประเทศไทย เรื่อง หลักเกณฑ์การกำกับ</w:t>
            </w:r>
            <w:r w:rsidRPr="00FC2A0B">
              <w:rPr>
                <w:cs/>
                <w:lang w:val="th-TH"/>
              </w:rPr>
              <w:lastRenderedPageBreak/>
              <w:t>ดูแลสินเชื่อเพื่อที่อยู่อาศัยและสินเชื่ออื่นที่เกี่ยวเนื่องกับสินเชื่อเพื่อที่อยู่อาศัย</w:t>
            </w:r>
          </w:p>
        </w:tc>
        <w:tc>
          <w:tcPr>
            <w:tcW w:w="720" w:type="dxa"/>
          </w:tcPr>
          <w:p w:rsidR="005D5DC1" w:rsidRPr="007B3071" w:rsidRDefault="005D5DC1" w:rsidP="005D5DC1">
            <w:pPr>
              <w:spacing w:before="120" w:line="360" w:lineRule="auto"/>
              <w:jc w:val="center"/>
              <w:rPr>
                <w:cs/>
              </w:rPr>
            </w:pPr>
            <w:r>
              <w:lastRenderedPageBreak/>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Code</w:t>
            </w:r>
          </w:p>
        </w:tc>
        <w:tc>
          <w:tcPr>
            <w:tcW w:w="1440" w:type="dxa"/>
          </w:tcPr>
          <w:p w:rsidR="005D5DC1" w:rsidRPr="007B3071" w:rsidRDefault="005D5DC1" w:rsidP="005D5DC1">
            <w:pPr>
              <w:spacing w:before="120" w:line="360" w:lineRule="auto"/>
            </w:pPr>
            <w:r>
              <w:t>Classification Name</w:t>
            </w:r>
          </w:p>
        </w:tc>
        <w:tc>
          <w:tcPr>
            <w:tcW w:w="3510" w:type="dxa"/>
          </w:tcPr>
          <w:p w:rsidR="005D5DC1" w:rsidRPr="007B3071" w:rsidRDefault="005D5DC1" w:rsidP="005D5DC1">
            <w:pPr>
              <w:spacing w:before="120" w:line="360" w:lineRule="auto"/>
              <w:rPr>
                <w:cs/>
              </w:rPr>
            </w:pPr>
            <w:r w:rsidRPr="00C512C3">
              <w:rPr>
                <w:cs/>
                <w:lang w:val="th-TH"/>
              </w:rPr>
              <w:t>รหัสสิ่งปลูกสร้างของหลักประกัน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t>Building Code</w:t>
            </w:r>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Pr="00A56110" w:rsidRDefault="005D5DC1" w:rsidP="005D5DC1">
            <w:pPr>
              <w:spacing w:before="120" w:line="360" w:lineRule="auto"/>
              <w:jc w:val="center"/>
            </w:pPr>
            <w:r w:rsidRPr="00A56110">
              <w:t>24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Ownership</w:t>
            </w:r>
          </w:p>
        </w:tc>
        <w:tc>
          <w:tcPr>
            <w:tcW w:w="1440" w:type="dxa"/>
          </w:tcPr>
          <w:p w:rsidR="005D5DC1" w:rsidRPr="002773E2" w:rsidRDefault="005D5DC1" w:rsidP="005D5DC1">
            <w:pPr>
              <w:spacing w:before="120" w:line="360" w:lineRule="auto"/>
              <w:rPr>
                <w:color w:val="0000FF"/>
              </w:rPr>
            </w:pPr>
            <w:r w:rsidRPr="002773E2">
              <w:rPr>
                <w:color w:val="0000FF"/>
              </w:rPr>
              <w:t>Classification</w:t>
            </w:r>
            <w:r w:rsidR="002773E2" w:rsidRPr="002773E2">
              <w:rPr>
                <w:rFonts w:hint="cs"/>
                <w:color w:val="0000FF"/>
                <w:cs/>
              </w:rPr>
              <w:t xml:space="preserve"> </w:t>
            </w:r>
            <w:r w:rsidR="002773E2" w:rsidRPr="002773E2">
              <w:rPr>
                <w:color w:val="0000FF"/>
              </w:rPr>
              <w:t>Name</w:t>
            </w:r>
          </w:p>
        </w:tc>
        <w:tc>
          <w:tcPr>
            <w:tcW w:w="3510" w:type="dxa"/>
          </w:tcPr>
          <w:p w:rsidR="005D5DC1" w:rsidRPr="006B1C78" w:rsidRDefault="005D5DC1" w:rsidP="005D5DC1">
            <w:pPr>
              <w:pStyle w:val="Header"/>
              <w:tabs>
                <w:tab w:val="left" w:pos="1260"/>
                <w:tab w:val="left" w:pos="1530"/>
                <w:tab w:val="left" w:pos="2721"/>
                <w:tab w:val="left" w:pos="3429"/>
              </w:tabs>
              <w:spacing w:before="120" w:line="360" w:lineRule="auto"/>
              <w:rPr>
                <w:cs/>
                <w:lang w:val="th-TH"/>
              </w:rPr>
            </w:pPr>
            <w:r>
              <w:rPr>
                <w:rFonts w:hint="cs"/>
                <w:cs/>
                <w:lang w:val="th-TH"/>
              </w:rPr>
              <w:t xml:space="preserve">สิทธิการเช่า มีค่าเป็น </w:t>
            </w:r>
            <w:r w:rsidRPr="00E11E0C">
              <w:rPr>
                <w:cs/>
                <w:lang w:val="th-TH"/>
              </w:rPr>
              <w:t xml:space="preserve">1 = </w:t>
            </w:r>
            <w:proofErr w:type="spellStart"/>
            <w:r w:rsidRPr="00E11E0C">
              <w:rPr>
                <w:cs/>
                <w:lang w:val="th-TH"/>
              </w:rPr>
              <w:t>Freehold</w:t>
            </w:r>
            <w:proofErr w:type="spellEnd"/>
            <w:r>
              <w:rPr>
                <w:rFonts w:hint="cs"/>
                <w:cs/>
                <w:lang w:val="th-TH"/>
              </w:rPr>
              <w:t xml:space="preserve">  หรือ </w:t>
            </w:r>
            <w:r w:rsidRPr="00E11E0C">
              <w:rPr>
                <w:cs/>
                <w:lang w:val="th-TH"/>
              </w:rPr>
              <w:t xml:space="preserve">2 = </w:t>
            </w:r>
            <w:proofErr w:type="spellStart"/>
            <w:r w:rsidRPr="00E11E0C">
              <w:rPr>
                <w:cs/>
                <w:lang w:val="th-TH"/>
              </w:rPr>
              <w:t>Leasehold</w:t>
            </w:r>
            <w:proofErr w:type="spellEnd"/>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bookmarkStart w:id="22" w:name="_Toc536639633"/>
            <w:bookmarkStart w:id="23" w:name="_Toc805835"/>
            <w:r w:rsidRPr="00464B53">
              <w:rPr>
                <w:color w:val="000000" w:themeColor="text1"/>
              </w:rPr>
              <w:t>Land Ownership</w:t>
            </w:r>
            <w:bookmarkEnd w:id="22"/>
            <w:bookmarkEnd w:id="23"/>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25</w:t>
            </w:r>
          </w:p>
        </w:tc>
        <w:tc>
          <w:tcPr>
            <w:tcW w:w="720" w:type="dxa"/>
            <w:noWrap/>
            <w:tcMar>
              <w:top w:w="20" w:type="dxa"/>
              <w:left w:w="20" w:type="dxa"/>
              <w:bottom w:w="0" w:type="dxa"/>
              <w:right w:w="20" w:type="dxa"/>
            </w:tcMar>
          </w:tcPr>
          <w:p w:rsidR="005D5DC1" w:rsidRPr="00A56110" w:rsidRDefault="005D5DC1" w:rsidP="005D5DC1">
            <w:pPr>
              <w:spacing w:before="120" w:line="360" w:lineRule="auto"/>
              <w:jc w:val="center"/>
            </w:pPr>
          </w:p>
        </w:tc>
        <w:tc>
          <w:tcPr>
            <w:tcW w:w="1890" w:type="dxa"/>
          </w:tcPr>
          <w:p w:rsidR="005D5DC1" w:rsidRPr="00A56110" w:rsidRDefault="005D5DC1" w:rsidP="005D5DC1">
            <w:pPr>
              <w:spacing w:before="120" w:line="360" w:lineRule="auto"/>
            </w:pPr>
            <w:r w:rsidRPr="00A56110">
              <w:t>Location Code</w:t>
            </w:r>
          </w:p>
        </w:tc>
        <w:tc>
          <w:tcPr>
            <w:tcW w:w="1440" w:type="dxa"/>
          </w:tcPr>
          <w:p w:rsidR="005D5DC1" w:rsidRPr="00A56110" w:rsidRDefault="005D5DC1" w:rsidP="005D5DC1">
            <w:pPr>
              <w:spacing w:before="120" w:line="360" w:lineRule="auto"/>
            </w:pPr>
            <w:r w:rsidRPr="002773E2">
              <w:rPr>
                <w:color w:val="0000FF"/>
              </w:rPr>
              <w:t>Classification</w:t>
            </w:r>
            <w:r w:rsidRPr="002773E2">
              <w:rPr>
                <w:rFonts w:hint="cs"/>
                <w:color w:val="0000FF"/>
                <w:cs/>
              </w:rPr>
              <w:t xml:space="preserve"> </w:t>
            </w:r>
            <w:r w:rsidR="002773E2" w:rsidRPr="002773E2">
              <w:rPr>
                <w:color w:val="0000FF"/>
              </w:rPr>
              <w:t>Name</w:t>
            </w:r>
          </w:p>
        </w:tc>
        <w:tc>
          <w:tcPr>
            <w:tcW w:w="3510" w:type="dxa"/>
          </w:tcPr>
          <w:p w:rsidR="005D5DC1" w:rsidRPr="00A56110" w:rsidRDefault="005D5DC1" w:rsidP="005D5DC1">
            <w:pPr>
              <w:spacing w:before="120" w:line="360" w:lineRule="auto"/>
              <w:rPr>
                <w:cs/>
              </w:rPr>
            </w:pPr>
            <w:r w:rsidRPr="00A56110">
              <w:rPr>
                <w:cs/>
                <w:lang w:val="th-TH"/>
              </w:rPr>
              <w:t>รหัสจังหวัด  อำเภอ  และตำบลของที่ตั้งหลักประกันตามการแบ่งเขตพื้นที่ของกรมการปกครอง</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pPr>
            <w:r>
              <w:rPr>
                <w:rFonts w:hint="cs"/>
                <w:cs/>
              </w:rPr>
              <w:t>-</w:t>
            </w:r>
          </w:p>
        </w:tc>
        <w:tc>
          <w:tcPr>
            <w:tcW w:w="1173" w:type="dxa"/>
          </w:tcPr>
          <w:p w:rsidR="005D5DC1" w:rsidRPr="00A56110" w:rsidRDefault="005D5DC1" w:rsidP="005D5DC1">
            <w:pPr>
              <w:spacing w:before="120" w:line="360" w:lineRule="auto"/>
              <w:jc w:val="center"/>
            </w:pPr>
          </w:p>
        </w:tc>
        <w:tc>
          <w:tcPr>
            <w:tcW w:w="1890" w:type="dxa"/>
          </w:tcPr>
          <w:p w:rsidR="005D5DC1" w:rsidRPr="00A56110" w:rsidRDefault="005D5DC1" w:rsidP="005D5DC1">
            <w:pPr>
              <w:spacing w:before="120" w:line="360" w:lineRule="auto"/>
              <w:rPr>
                <w:cs/>
              </w:rPr>
            </w:pPr>
            <w:r w:rsidRPr="00A56110">
              <w:t>Location Code</w:t>
            </w:r>
            <w:r>
              <w:t xml:space="preserve"> </w:t>
            </w:r>
            <w:r w:rsidRPr="00A56110">
              <w:rPr>
                <w:vertAlign w:val="superscript"/>
              </w:rPr>
              <w:t>2/</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Project Name</w:t>
            </w:r>
          </w:p>
        </w:tc>
        <w:tc>
          <w:tcPr>
            <w:tcW w:w="1440" w:type="dxa"/>
          </w:tcPr>
          <w:p w:rsidR="005D5DC1" w:rsidRPr="007B3071" w:rsidRDefault="005D5DC1" w:rsidP="005D5DC1">
            <w:pPr>
              <w:spacing w:before="120" w:line="360" w:lineRule="auto"/>
              <w:rPr>
                <w:cs/>
              </w:rPr>
            </w:pPr>
            <w:r>
              <w:t>Long Name</w:t>
            </w:r>
          </w:p>
        </w:tc>
        <w:tc>
          <w:tcPr>
            <w:tcW w:w="3510" w:type="dxa"/>
          </w:tcPr>
          <w:p w:rsidR="005D5DC1" w:rsidRPr="001E0B5A" w:rsidRDefault="005D5DC1" w:rsidP="005D5DC1">
            <w:pPr>
              <w:spacing w:before="120" w:line="360" w:lineRule="auto"/>
              <w:rPr>
                <w:cs/>
              </w:rPr>
            </w:pPr>
            <w:r w:rsidRPr="00142A56">
              <w:rPr>
                <w:cs/>
                <w:lang w:val="th-TH"/>
              </w:rPr>
              <w:t>ชื่อหมู่บ้านบ้า</w:t>
            </w:r>
            <w:r>
              <w:rPr>
                <w:cs/>
                <w:lang w:val="th-TH"/>
              </w:rPr>
              <w:t>นจัดสรร หรือชื่อโครงการอาคารชุด</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Developer Dummy</w:t>
            </w:r>
          </w:p>
        </w:tc>
        <w:tc>
          <w:tcPr>
            <w:tcW w:w="1440" w:type="dxa"/>
          </w:tcPr>
          <w:p w:rsidR="005D5DC1" w:rsidRPr="007B3071" w:rsidRDefault="005D5DC1" w:rsidP="005D5DC1">
            <w:pPr>
              <w:spacing w:before="120" w:line="360" w:lineRule="auto"/>
              <w:rPr>
                <w:cs/>
              </w:rPr>
            </w:pPr>
            <w:r>
              <w:t>Classification Name</w:t>
            </w:r>
          </w:p>
        </w:tc>
        <w:tc>
          <w:tcPr>
            <w:tcW w:w="3510" w:type="dxa"/>
          </w:tcPr>
          <w:p w:rsidR="005D5DC1" w:rsidRPr="007B3071" w:rsidRDefault="005D5DC1" w:rsidP="005D5DC1">
            <w:pPr>
              <w:spacing w:before="120" w:line="360" w:lineRule="auto"/>
              <w:rPr>
                <w:cs/>
              </w:rPr>
            </w:pPr>
            <w:r>
              <w:rPr>
                <w:rFonts w:hint="cs"/>
                <w:cs/>
                <w:lang w:val="th-TH"/>
              </w:rPr>
              <w:t>ประเภท</w:t>
            </w:r>
            <w:r w:rsidRPr="007E7545">
              <w:rPr>
                <w:cs/>
                <w:lang w:val="th-TH"/>
              </w:rPr>
              <w:t>ผู้พัฒนาโครงการที่อยู่อาศัย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rsidRPr="00BD03D9">
              <w:t>Developer Dummy</w:t>
            </w:r>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Age</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6A778B">
              <w:rPr>
                <w:cs/>
                <w:lang w:val="th-TH"/>
              </w:rPr>
              <w:t xml:space="preserve">อายุสิ่งปลูกสร้าง ตามเอกสารการประเมิน  </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Area Utilization (M2)</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C93638">
              <w:rPr>
                <w:color w:val="000000" w:themeColor="text1"/>
                <w:cs/>
              </w:rPr>
              <w:t>ขนาดพื้นที่ใช้สอยของที่อยู่อาศัย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Area (W2)</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AA76AF">
              <w:rPr>
                <w:cs/>
                <w:lang w:val="th-TH"/>
              </w:rPr>
              <w:t>ขนาดท</w:t>
            </w:r>
            <w:r>
              <w:rPr>
                <w:cs/>
                <w:lang w:val="th-TH"/>
              </w:rPr>
              <w:t>ี่ดินสำหรับที่อยู่อาศัย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lastRenderedPageBreak/>
              <w:t>31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Actual Selling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8C408C">
              <w:rPr>
                <w:cs/>
              </w:rPr>
              <w:t>ราคาที่ผู้ซื้อและผู้ขา</w:t>
            </w:r>
            <w:r>
              <w:rPr>
                <w:cs/>
              </w:rPr>
              <w:t>ยตกลงซื้อขายที่อยู่อาศัย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Appraisal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ราคาประเมินที่ดินรวมสิ่งปลูกสร้าง</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ราคาประเมินสิ่งปลูกสร้าง</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ราคาประเมินที่ดิน</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Floor No. / No. of Floor</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B50BD7">
              <w:rPr>
                <w:cs/>
              </w:rPr>
              <w:t>จำนวนชั้น (สำหรับที่อยู่อาศัยแนวราบ เช่น บ้านเดี่ยว ทาวน์</w:t>
            </w:r>
            <w:proofErr w:type="spellStart"/>
            <w:r w:rsidRPr="00B50BD7">
              <w:rPr>
                <w:cs/>
              </w:rPr>
              <w:t>เฮ้าส์</w:t>
            </w:r>
            <w:proofErr w:type="spellEnd"/>
            <w:r w:rsidRPr="00B50BD7">
              <w:rPr>
                <w:cs/>
              </w:rPr>
              <w:t>) หรือ ชั้นที่ (สำหรับห้องชุด)</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Decorated</w:t>
            </w:r>
          </w:p>
        </w:tc>
        <w:tc>
          <w:tcPr>
            <w:tcW w:w="1440" w:type="dxa"/>
          </w:tcPr>
          <w:p w:rsidR="005D5DC1" w:rsidRPr="007B3071" w:rsidRDefault="005D5DC1" w:rsidP="005D5DC1">
            <w:pPr>
              <w:spacing w:before="120" w:line="360" w:lineRule="auto"/>
            </w:pPr>
            <w:r>
              <w:t>Classification</w:t>
            </w:r>
            <w:r>
              <w:rPr>
                <w:rFonts w:hint="cs"/>
                <w:cs/>
              </w:rPr>
              <w:t xml:space="preserve"> </w:t>
            </w:r>
            <w:r>
              <w:t>Name</w:t>
            </w:r>
          </w:p>
        </w:tc>
        <w:tc>
          <w:tcPr>
            <w:tcW w:w="3510" w:type="dxa"/>
          </w:tcPr>
          <w:p w:rsidR="005D5DC1" w:rsidRPr="007B3071" w:rsidRDefault="005D5DC1" w:rsidP="005D5DC1">
            <w:pPr>
              <w:spacing w:before="120" w:line="360" w:lineRule="auto"/>
              <w:rPr>
                <w:cs/>
              </w:rPr>
            </w:pPr>
            <w:r>
              <w:rPr>
                <w:rFonts w:hint="cs"/>
                <w:cs/>
                <w:lang w:val="th-TH"/>
              </w:rPr>
              <w:t>ลักษณะการตกแต่งสินทรัพย์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rsidRPr="00BD03D9">
              <w:t>Decorated</w:t>
            </w:r>
            <w: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rPr>
                <w:cs/>
              </w:rPr>
            </w:pPr>
            <w:proofErr w:type="spellStart"/>
            <w:r>
              <w:rPr>
                <w:rFonts w:hint="cs"/>
                <w:cs/>
                <w:lang w:val="th-TH"/>
              </w:rPr>
              <w:t>Number</w:t>
            </w:r>
            <w:proofErr w:type="spellEnd"/>
            <w:r>
              <w:rPr>
                <w:rFonts w:hint="cs"/>
                <w:cs/>
                <w:lang w:val="th-TH"/>
              </w:rPr>
              <w:t xml:space="preserve"> </w:t>
            </w:r>
            <w:proofErr w:type="spellStart"/>
            <w:r>
              <w:rPr>
                <w:rFonts w:hint="cs"/>
                <w:cs/>
                <w:lang w:val="th-TH"/>
              </w:rPr>
              <w:t>of</w:t>
            </w:r>
            <w:proofErr w:type="spellEnd"/>
            <w:r>
              <w:rPr>
                <w:rFonts w:hint="cs"/>
                <w:cs/>
                <w:lang w:val="th-TH"/>
              </w:rPr>
              <w:t xml:space="preserve"> </w:t>
            </w:r>
            <w:proofErr w:type="spellStart"/>
            <w:r>
              <w:rPr>
                <w:rFonts w:hint="cs"/>
                <w:cs/>
                <w:lang w:val="th-TH"/>
              </w:rPr>
              <w:t>Reject</w:t>
            </w:r>
            <w:proofErr w:type="spellEnd"/>
            <w:r>
              <w:rPr>
                <w:rFonts w:hint="cs"/>
                <w:cs/>
                <w:lang w:val="th-TH"/>
              </w:rPr>
              <w:t xml:space="preserve"> </w:t>
            </w:r>
            <w:proofErr w:type="spellStart"/>
            <w:r>
              <w:rPr>
                <w:rFonts w:hint="cs"/>
                <w:cs/>
                <w:lang w:val="th-TH"/>
              </w:rPr>
              <w:t>Contract</w:t>
            </w:r>
            <w:proofErr w:type="spellEnd"/>
          </w:p>
        </w:tc>
        <w:tc>
          <w:tcPr>
            <w:tcW w:w="1440" w:type="dxa"/>
          </w:tcPr>
          <w:p w:rsidR="005D5DC1" w:rsidRDefault="005D5DC1" w:rsidP="005D5DC1">
            <w:pPr>
              <w:spacing w:before="120" w:line="360" w:lineRule="auto"/>
            </w:pPr>
            <w:r>
              <w:t>Number</w:t>
            </w:r>
          </w:p>
        </w:tc>
        <w:tc>
          <w:tcPr>
            <w:tcW w:w="3510" w:type="dxa"/>
          </w:tcPr>
          <w:p w:rsidR="005D5DC1" w:rsidRDefault="005D5DC1" w:rsidP="005D5DC1">
            <w:pPr>
              <w:spacing w:before="120" w:line="360" w:lineRule="auto"/>
              <w:rPr>
                <w:cs/>
                <w:lang w:val="th-TH"/>
              </w:rPr>
            </w:pPr>
            <w:r w:rsidRPr="000C0E18">
              <w:rPr>
                <w:cs/>
                <w:lang w:val="th-TH"/>
              </w:rPr>
              <w:t>จำนวนผู้ขอกู้ที่ไม่ได้รับอนุมัติสินเชื่อในเดือนนี้</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p>
        </w:tc>
      </w:tr>
    </w:tbl>
    <w:p w:rsidR="003D34A9" w:rsidRDefault="003D34A9" w:rsidP="00D76ED1">
      <w:pPr>
        <w:pStyle w:val="Footer"/>
        <w:tabs>
          <w:tab w:val="clear" w:pos="4153"/>
          <w:tab w:val="clear" w:pos="8306"/>
        </w:tabs>
        <w:jc w:val="both"/>
      </w:pPr>
    </w:p>
    <w:p w:rsidR="0052432D" w:rsidRDefault="00D76ED1" w:rsidP="00D76ED1">
      <w:pPr>
        <w:pStyle w:val="Footer"/>
        <w:tabs>
          <w:tab w:val="clear" w:pos="4153"/>
          <w:tab w:val="clear" w:pos="8306"/>
        </w:tabs>
        <w:jc w:val="both"/>
      </w:pPr>
      <w:r>
        <w:rPr>
          <w:rFonts w:hint="cs"/>
          <w:cs/>
        </w:rPr>
        <w:t>หมายเหตุ</w:t>
      </w:r>
      <w:r>
        <w:t xml:space="preserve">: </w:t>
      </w:r>
    </w:p>
    <w:p w:rsidR="0052432D" w:rsidRDefault="00D76ED1" w:rsidP="00D76ED1">
      <w:pPr>
        <w:pStyle w:val="Footer"/>
        <w:tabs>
          <w:tab w:val="clear" w:pos="4153"/>
          <w:tab w:val="clear" w:pos="8306"/>
        </w:tabs>
        <w:jc w:val="both"/>
      </w:pPr>
      <w:r>
        <w:t>1/</w:t>
      </w:r>
      <w:r w:rsidR="0052432D">
        <w:t xml:space="preserve"> </w:t>
      </w:r>
      <w:r w:rsidR="0052432D">
        <w:rPr>
          <w:rFonts w:hint="cs"/>
          <w:cs/>
        </w:rPr>
        <w:t xml:space="preserve">อ้างอิงจากเอกสาร </w:t>
      </w:r>
      <w:r w:rsidR="006A6C9E">
        <w:t>MGL</w:t>
      </w:r>
      <w:r w:rsidR="0052432D">
        <w:t xml:space="preserve"> Classification Document</w:t>
      </w:r>
    </w:p>
    <w:p w:rsidR="00D76ED1" w:rsidRPr="00A25283" w:rsidRDefault="0052432D" w:rsidP="00D76ED1">
      <w:pPr>
        <w:pStyle w:val="Footer"/>
        <w:tabs>
          <w:tab w:val="clear" w:pos="4153"/>
          <w:tab w:val="clear" w:pos="8306"/>
        </w:tabs>
        <w:jc w:val="both"/>
        <w:rPr>
          <w:cs/>
        </w:rPr>
      </w:pPr>
      <w:r>
        <w:t xml:space="preserve">2/ </w:t>
      </w:r>
      <w:r w:rsidR="00A56110">
        <w:rPr>
          <w:rFonts w:hint="cs"/>
          <w:cs/>
        </w:rPr>
        <w:t xml:space="preserve">อ้างอิงจากเอกสาร รหัสที่ตั้ง </w:t>
      </w:r>
      <w:r w:rsidR="00A56110">
        <w:t>(Location Code)</w:t>
      </w:r>
      <w:r w:rsidR="00A25283">
        <w:t xml:space="preserve"> </w:t>
      </w:r>
      <w:r w:rsidR="00A25283">
        <w:rPr>
          <w:rFonts w:hint="cs"/>
          <w:cs/>
        </w:rPr>
        <w:t xml:space="preserve">บน </w:t>
      </w:r>
      <w:r w:rsidR="00A25283">
        <w:t xml:space="preserve">BOT Website </w:t>
      </w:r>
      <w:r w:rsidR="00A25283">
        <w:rPr>
          <w:rFonts w:hint="cs"/>
          <w:cs/>
        </w:rPr>
        <w:t xml:space="preserve">ภายใต้หัวข้อ </w:t>
      </w:r>
      <w:r w:rsidR="00A25283">
        <w:rPr>
          <w:cs/>
        </w:rPr>
        <w:t>รหัสมาตรฐาน</w:t>
      </w:r>
    </w:p>
    <w:p w:rsidR="003D34A9" w:rsidRPr="00BE76A2" w:rsidRDefault="00AA07CE" w:rsidP="00BE76A2">
      <w:pPr>
        <w:pStyle w:val="Appendix"/>
        <w:numPr>
          <w:ilvl w:val="0"/>
          <w:numId w:val="16"/>
        </w:numPr>
        <w:ind w:left="360"/>
        <w:rPr>
          <w:rFonts w:ascii="Tahoma" w:hAnsi="Tahoma" w:cs="Tahoma"/>
          <w:sz w:val="20"/>
          <w:szCs w:val="20"/>
        </w:rPr>
      </w:pPr>
      <w:bookmarkStart w:id="24" w:name="_Toc361140895"/>
      <w:bookmarkStart w:id="25" w:name="_Toc533094274"/>
      <w:bookmarkStart w:id="26" w:name="_Toc2116215"/>
      <w:r>
        <w:rPr>
          <w:rFonts w:ascii="Tahoma" w:hAnsi="Tahoma" w:cs="Tahoma"/>
          <w:sz w:val="20"/>
          <w:szCs w:val="20"/>
        </w:rPr>
        <w:lastRenderedPageBreak/>
        <w:t xml:space="preserve">Appendix A. </w:t>
      </w:r>
      <w:r w:rsidR="003D34A9" w:rsidRPr="00BE76A2">
        <w:rPr>
          <w:rFonts w:ascii="Tahoma" w:hAnsi="Tahoma" w:cs="Tahoma"/>
          <w:sz w:val="20"/>
          <w:szCs w:val="20"/>
        </w:rPr>
        <w:t>Data Type</w:t>
      </w:r>
      <w:bookmarkEnd w:id="24"/>
      <w:bookmarkEnd w:id="25"/>
      <w:bookmarkEnd w:id="2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VarChar(6)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r>
              <w:t>VarChar(200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lastRenderedPageBreak/>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EB5" w:rsidRDefault="00114EB5" w:rsidP="00917C33">
      <w:r>
        <w:separator/>
      </w:r>
    </w:p>
  </w:endnote>
  <w:endnote w:type="continuationSeparator" w:id="0">
    <w:p w:rsidR="00114EB5" w:rsidRDefault="00114EB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EB5" w:rsidRDefault="00114EB5">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4EB5" w:rsidRPr="007D71A9" w:rsidRDefault="00114EB5" w:rsidP="00E07528">
                          <w:pPr>
                            <w:spacing w:after="120" w:line="240" w:lineRule="exact"/>
                            <w:rPr>
                              <w:b/>
                              <w:bCs/>
                            </w:rPr>
                          </w:pPr>
                          <w:r w:rsidRPr="007D71A9">
                            <w:rPr>
                              <w:b/>
                              <w:bCs/>
                              <w:cs/>
                            </w:rPr>
                            <w:t>โครงการพัฒนาระบบบริหารข้อมูล</w:t>
                          </w:r>
                        </w:p>
                        <w:p w:rsidR="00114EB5" w:rsidRPr="007D71A9" w:rsidRDefault="00114EB5"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114EB5" w:rsidRPr="007D71A9" w:rsidRDefault="00114EB5" w:rsidP="00E07528">
                    <w:pPr>
                      <w:spacing w:after="120" w:line="240" w:lineRule="exact"/>
                      <w:rPr>
                        <w:b/>
                        <w:bCs/>
                      </w:rPr>
                    </w:pPr>
                    <w:r w:rsidRPr="007D71A9">
                      <w:rPr>
                        <w:b/>
                        <w:bCs/>
                        <w:cs/>
                      </w:rPr>
                      <w:t>โครงการพัฒนาระบบบริหารข้อมูล</w:t>
                    </w:r>
                  </w:p>
                  <w:p w:rsidR="00114EB5" w:rsidRPr="007D71A9" w:rsidRDefault="00114EB5"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4EB5" w:rsidRPr="007D71A9" w:rsidRDefault="00114EB5">
                          <w:pPr>
                            <w:spacing w:line="320" w:lineRule="exact"/>
                            <w:jc w:val="right"/>
                          </w:pPr>
                          <w:r w:rsidRPr="007D71A9">
                            <w:t xml:space="preserve">DATA SET </w:t>
                          </w:r>
                        </w:p>
                        <w:p w:rsidR="00114EB5" w:rsidRPr="007D71A9" w:rsidRDefault="00114EB5">
                          <w:pPr>
                            <w:spacing w:line="320" w:lineRule="exact"/>
                            <w:jc w:val="right"/>
                          </w:pPr>
                          <w:r>
                            <w:t>MGL Data Set Document Version</w:t>
                          </w:r>
                          <w:r w:rsidRPr="007D71A9">
                            <w:t xml:space="preserve"> </w:t>
                          </w:r>
                          <w:r>
                            <w:t>1.</w:t>
                          </w:r>
                          <w:r w:rsidR="00D06214">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114EB5" w:rsidRPr="007D71A9" w:rsidRDefault="00114EB5">
                    <w:pPr>
                      <w:spacing w:line="320" w:lineRule="exact"/>
                      <w:jc w:val="right"/>
                    </w:pPr>
                    <w:r w:rsidRPr="007D71A9">
                      <w:t xml:space="preserve">DATA SET </w:t>
                    </w:r>
                  </w:p>
                  <w:p w:rsidR="00114EB5" w:rsidRPr="007D71A9" w:rsidRDefault="00114EB5">
                    <w:pPr>
                      <w:spacing w:line="320" w:lineRule="exact"/>
                      <w:jc w:val="right"/>
                    </w:pPr>
                    <w:r>
                      <w:t>MGL Data Set Document Version</w:t>
                    </w:r>
                    <w:r w:rsidRPr="007D71A9">
                      <w:t xml:space="preserve"> </w:t>
                    </w:r>
                    <w:r>
                      <w:t>1.</w:t>
                    </w:r>
                    <w:r w:rsidR="00D06214">
                      <w:t>3</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EB5" w:rsidRDefault="00114EB5"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4EB5" w:rsidRPr="007D71A9" w:rsidRDefault="00114EB5" w:rsidP="00E07528">
                          <w:pPr>
                            <w:spacing w:after="120" w:line="240" w:lineRule="exact"/>
                            <w:rPr>
                              <w:b/>
                              <w:bCs/>
                            </w:rPr>
                          </w:pPr>
                          <w:r w:rsidRPr="007D71A9">
                            <w:rPr>
                              <w:b/>
                              <w:bCs/>
                              <w:cs/>
                            </w:rPr>
                            <w:t>โครงการพัฒนาระบบบริหารข้อมูล</w:t>
                          </w:r>
                        </w:p>
                        <w:p w:rsidR="00114EB5" w:rsidRPr="007D71A9" w:rsidRDefault="00114EB5"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114EB5" w:rsidRPr="007D71A9" w:rsidRDefault="00114EB5" w:rsidP="00E07528">
                    <w:pPr>
                      <w:spacing w:after="120" w:line="240" w:lineRule="exact"/>
                      <w:rPr>
                        <w:b/>
                        <w:bCs/>
                      </w:rPr>
                    </w:pPr>
                    <w:r w:rsidRPr="007D71A9">
                      <w:rPr>
                        <w:b/>
                        <w:bCs/>
                        <w:cs/>
                      </w:rPr>
                      <w:t>โครงการพัฒนาระบบบริหารข้อมูล</w:t>
                    </w:r>
                  </w:p>
                  <w:p w:rsidR="00114EB5" w:rsidRPr="007D71A9" w:rsidRDefault="00114EB5"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114EB5" w:rsidRPr="00CA477A" w:rsidRDefault="00114EB5"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4EB5" w:rsidRPr="007D71A9" w:rsidRDefault="00114EB5" w:rsidP="00E07528">
                          <w:pPr>
                            <w:spacing w:line="320" w:lineRule="exact"/>
                            <w:jc w:val="right"/>
                          </w:pPr>
                          <w:r w:rsidRPr="007D71A9">
                            <w:t xml:space="preserve">DATA SET </w:t>
                          </w:r>
                        </w:p>
                        <w:p w:rsidR="00114EB5" w:rsidRPr="007D71A9" w:rsidRDefault="00114EB5" w:rsidP="00E07528">
                          <w:pPr>
                            <w:spacing w:line="320" w:lineRule="exact"/>
                            <w:jc w:val="right"/>
                          </w:pPr>
                          <w:r>
                            <w:t xml:space="preserve"> MGL Data Set Document Version 1</w:t>
                          </w:r>
                          <w:r w:rsidRPr="007D71A9">
                            <w:t>.</w:t>
                          </w:r>
                          <w:r w:rsidR="00D06214">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59F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114EB5" w:rsidRPr="007D71A9" w:rsidRDefault="00114EB5" w:rsidP="00E07528">
                    <w:pPr>
                      <w:spacing w:line="320" w:lineRule="exact"/>
                      <w:jc w:val="right"/>
                    </w:pPr>
                    <w:r w:rsidRPr="007D71A9">
                      <w:t xml:space="preserve">DATA SET </w:t>
                    </w:r>
                  </w:p>
                  <w:p w:rsidR="00114EB5" w:rsidRPr="007D71A9" w:rsidRDefault="00114EB5" w:rsidP="00E07528">
                    <w:pPr>
                      <w:spacing w:line="320" w:lineRule="exact"/>
                      <w:jc w:val="right"/>
                    </w:pPr>
                    <w:r>
                      <w:t xml:space="preserve"> MGL Data Set Document Version 1</w:t>
                    </w:r>
                    <w:r w:rsidRPr="007D71A9">
                      <w:t>.</w:t>
                    </w:r>
                    <w:r w:rsidR="00D06214">
                      <w:t>3</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0D2C04">
      <w:rPr>
        <w:b/>
        <w:bCs/>
        <w:noProof/>
      </w:rPr>
      <w:t>14</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EB5" w:rsidRDefault="00114EB5" w:rsidP="00917C33">
      <w:r>
        <w:separator/>
      </w:r>
    </w:p>
  </w:footnote>
  <w:footnote w:type="continuationSeparator" w:id="0">
    <w:p w:rsidR="00114EB5" w:rsidRDefault="00114EB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EB5" w:rsidRDefault="00114EB5">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EB5" w:rsidRDefault="00114EB5">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3891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50D4"/>
    <w:rsid w:val="00061404"/>
    <w:rsid w:val="00064BF1"/>
    <w:rsid w:val="000667B9"/>
    <w:rsid w:val="00077FBC"/>
    <w:rsid w:val="00081C02"/>
    <w:rsid w:val="00084C8A"/>
    <w:rsid w:val="00087ACD"/>
    <w:rsid w:val="000918BB"/>
    <w:rsid w:val="00094174"/>
    <w:rsid w:val="000A0944"/>
    <w:rsid w:val="000A7515"/>
    <w:rsid w:val="000B06DA"/>
    <w:rsid w:val="000B1A23"/>
    <w:rsid w:val="000B5B16"/>
    <w:rsid w:val="000C16CF"/>
    <w:rsid w:val="000D2C04"/>
    <w:rsid w:val="000D5181"/>
    <w:rsid w:val="000E31BA"/>
    <w:rsid w:val="000F21D9"/>
    <w:rsid w:val="000F2930"/>
    <w:rsid w:val="000F384B"/>
    <w:rsid w:val="00103331"/>
    <w:rsid w:val="00112D9C"/>
    <w:rsid w:val="0011404A"/>
    <w:rsid w:val="00114EB5"/>
    <w:rsid w:val="001214EB"/>
    <w:rsid w:val="0012222D"/>
    <w:rsid w:val="00122293"/>
    <w:rsid w:val="00122A88"/>
    <w:rsid w:val="00123DEC"/>
    <w:rsid w:val="00125328"/>
    <w:rsid w:val="0012697F"/>
    <w:rsid w:val="001324B4"/>
    <w:rsid w:val="001449D7"/>
    <w:rsid w:val="00161CCB"/>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C0F24"/>
    <w:rsid w:val="001C1C6A"/>
    <w:rsid w:val="001D3373"/>
    <w:rsid w:val="001D457C"/>
    <w:rsid w:val="001D4D40"/>
    <w:rsid w:val="001E07DD"/>
    <w:rsid w:val="001E0B5A"/>
    <w:rsid w:val="001E174E"/>
    <w:rsid w:val="001E2A29"/>
    <w:rsid w:val="001E6C38"/>
    <w:rsid w:val="001F171B"/>
    <w:rsid w:val="001F61D4"/>
    <w:rsid w:val="00201488"/>
    <w:rsid w:val="00210E15"/>
    <w:rsid w:val="00212A06"/>
    <w:rsid w:val="00220A5A"/>
    <w:rsid w:val="00222CC5"/>
    <w:rsid w:val="00225270"/>
    <w:rsid w:val="00232ABA"/>
    <w:rsid w:val="00232D2A"/>
    <w:rsid w:val="00234612"/>
    <w:rsid w:val="00237D30"/>
    <w:rsid w:val="0024463A"/>
    <w:rsid w:val="0025009D"/>
    <w:rsid w:val="0025129C"/>
    <w:rsid w:val="00251825"/>
    <w:rsid w:val="0025457C"/>
    <w:rsid w:val="00256B5B"/>
    <w:rsid w:val="002609FB"/>
    <w:rsid w:val="00264E30"/>
    <w:rsid w:val="00265BE1"/>
    <w:rsid w:val="00270995"/>
    <w:rsid w:val="0027546E"/>
    <w:rsid w:val="00276563"/>
    <w:rsid w:val="00276BDE"/>
    <w:rsid w:val="002773E2"/>
    <w:rsid w:val="00284C64"/>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302003"/>
    <w:rsid w:val="00305085"/>
    <w:rsid w:val="0030656E"/>
    <w:rsid w:val="00310082"/>
    <w:rsid w:val="00311856"/>
    <w:rsid w:val="00312989"/>
    <w:rsid w:val="00320478"/>
    <w:rsid w:val="0032114B"/>
    <w:rsid w:val="00321C21"/>
    <w:rsid w:val="00333EF5"/>
    <w:rsid w:val="003407D5"/>
    <w:rsid w:val="00342435"/>
    <w:rsid w:val="00342B90"/>
    <w:rsid w:val="00342D24"/>
    <w:rsid w:val="003536AF"/>
    <w:rsid w:val="00354A88"/>
    <w:rsid w:val="00357F00"/>
    <w:rsid w:val="0036228E"/>
    <w:rsid w:val="00365319"/>
    <w:rsid w:val="003678E9"/>
    <w:rsid w:val="00370FC7"/>
    <w:rsid w:val="00375557"/>
    <w:rsid w:val="0038385F"/>
    <w:rsid w:val="003873F2"/>
    <w:rsid w:val="00393875"/>
    <w:rsid w:val="00396C5E"/>
    <w:rsid w:val="003970D2"/>
    <w:rsid w:val="003A09CF"/>
    <w:rsid w:val="003A3B1D"/>
    <w:rsid w:val="003A79E4"/>
    <w:rsid w:val="003B5333"/>
    <w:rsid w:val="003C2387"/>
    <w:rsid w:val="003C52FB"/>
    <w:rsid w:val="003C6671"/>
    <w:rsid w:val="003D078D"/>
    <w:rsid w:val="003D34A9"/>
    <w:rsid w:val="003E0285"/>
    <w:rsid w:val="003E4E70"/>
    <w:rsid w:val="003E5B64"/>
    <w:rsid w:val="003E7E85"/>
    <w:rsid w:val="003F5B92"/>
    <w:rsid w:val="004008BA"/>
    <w:rsid w:val="004062C3"/>
    <w:rsid w:val="004122DD"/>
    <w:rsid w:val="00412F54"/>
    <w:rsid w:val="00422B11"/>
    <w:rsid w:val="004419D0"/>
    <w:rsid w:val="00451D65"/>
    <w:rsid w:val="00453B08"/>
    <w:rsid w:val="00455C1A"/>
    <w:rsid w:val="00456D2F"/>
    <w:rsid w:val="004679C9"/>
    <w:rsid w:val="00470D45"/>
    <w:rsid w:val="00470DBB"/>
    <w:rsid w:val="00470DF3"/>
    <w:rsid w:val="0047221F"/>
    <w:rsid w:val="00472401"/>
    <w:rsid w:val="00487F4C"/>
    <w:rsid w:val="00493BD4"/>
    <w:rsid w:val="0049620E"/>
    <w:rsid w:val="004A1FF8"/>
    <w:rsid w:val="004A4E0B"/>
    <w:rsid w:val="004A757B"/>
    <w:rsid w:val="004B1724"/>
    <w:rsid w:val="004B40D6"/>
    <w:rsid w:val="004C20FA"/>
    <w:rsid w:val="004C7425"/>
    <w:rsid w:val="004D6EAF"/>
    <w:rsid w:val="004E5114"/>
    <w:rsid w:val="004E760F"/>
    <w:rsid w:val="004F01C7"/>
    <w:rsid w:val="0050030D"/>
    <w:rsid w:val="0050111D"/>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B84"/>
    <w:rsid w:val="005572B2"/>
    <w:rsid w:val="00562372"/>
    <w:rsid w:val="00565345"/>
    <w:rsid w:val="0056743E"/>
    <w:rsid w:val="005747D6"/>
    <w:rsid w:val="0058070B"/>
    <w:rsid w:val="00582F58"/>
    <w:rsid w:val="005847E5"/>
    <w:rsid w:val="00590733"/>
    <w:rsid w:val="00592568"/>
    <w:rsid w:val="005A21D1"/>
    <w:rsid w:val="005A2F8D"/>
    <w:rsid w:val="005A4B3B"/>
    <w:rsid w:val="005A520E"/>
    <w:rsid w:val="005A78BB"/>
    <w:rsid w:val="005B7009"/>
    <w:rsid w:val="005C2FD6"/>
    <w:rsid w:val="005C3B95"/>
    <w:rsid w:val="005C6705"/>
    <w:rsid w:val="005D1442"/>
    <w:rsid w:val="005D1B12"/>
    <w:rsid w:val="005D26F1"/>
    <w:rsid w:val="005D5DC1"/>
    <w:rsid w:val="005D7A19"/>
    <w:rsid w:val="005E5B99"/>
    <w:rsid w:val="005F0248"/>
    <w:rsid w:val="005F4C1B"/>
    <w:rsid w:val="00611C7D"/>
    <w:rsid w:val="00617CA7"/>
    <w:rsid w:val="00620D32"/>
    <w:rsid w:val="00624B6F"/>
    <w:rsid w:val="00624C86"/>
    <w:rsid w:val="00627EEE"/>
    <w:rsid w:val="00633CA0"/>
    <w:rsid w:val="00634251"/>
    <w:rsid w:val="0063465E"/>
    <w:rsid w:val="00634751"/>
    <w:rsid w:val="00634B24"/>
    <w:rsid w:val="006366C9"/>
    <w:rsid w:val="00637066"/>
    <w:rsid w:val="00641AF6"/>
    <w:rsid w:val="006426AB"/>
    <w:rsid w:val="00656BF8"/>
    <w:rsid w:val="00657F71"/>
    <w:rsid w:val="00667A24"/>
    <w:rsid w:val="00671623"/>
    <w:rsid w:val="006724AC"/>
    <w:rsid w:val="00673C5B"/>
    <w:rsid w:val="00680570"/>
    <w:rsid w:val="00682880"/>
    <w:rsid w:val="006837DB"/>
    <w:rsid w:val="00685F33"/>
    <w:rsid w:val="00697AAF"/>
    <w:rsid w:val="006A3E1B"/>
    <w:rsid w:val="006A554F"/>
    <w:rsid w:val="006A6C9E"/>
    <w:rsid w:val="006A7955"/>
    <w:rsid w:val="006B0234"/>
    <w:rsid w:val="006B1C78"/>
    <w:rsid w:val="006B6EB3"/>
    <w:rsid w:val="006C2883"/>
    <w:rsid w:val="006C5F20"/>
    <w:rsid w:val="006C660E"/>
    <w:rsid w:val="006D0BBE"/>
    <w:rsid w:val="006D6F70"/>
    <w:rsid w:val="006E1B92"/>
    <w:rsid w:val="006F0C95"/>
    <w:rsid w:val="00710FDB"/>
    <w:rsid w:val="00713983"/>
    <w:rsid w:val="00721C27"/>
    <w:rsid w:val="00730F13"/>
    <w:rsid w:val="007340D1"/>
    <w:rsid w:val="00734508"/>
    <w:rsid w:val="007400E8"/>
    <w:rsid w:val="007449BD"/>
    <w:rsid w:val="007461C4"/>
    <w:rsid w:val="007475D4"/>
    <w:rsid w:val="00754A43"/>
    <w:rsid w:val="00754D96"/>
    <w:rsid w:val="00757006"/>
    <w:rsid w:val="007634EB"/>
    <w:rsid w:val="00770B58"/>
    <w:rsid w:val="00781593"/>
    <w:rsid w:val="00792392"/>
    <w:rsid w:val="007A1597"/>
    <w:rsid w:val="007A4819"/>
    <w:rsid w:val="007B667C"/>
    <w:rsid w:val="007D1B53"/>
    <w:rsid w:val="007D3F61"/>
    <w:rsid w:val="007E1348"/>
    <w:rsid w:val="007E266B"/>
    <w:rsid w:val="007E4254"/>
    <w:rsid w:val="007E619A"/>
    <w:rsid w:val="007E7545"/>
    <w:rsid w:val="00802095"/>
    <w:rsid w:val="00802C4B"/>
    <w:rsid w:val="008060D8"/>
    <w:rsid w:val="00820599"/>
    <w:rsid w:val="008225CE"/>
    <w:rsid w:val="008225FD"/>
    <w:rsid w:val="00823300"/>
    <w:rsid w:val="0082490A"/>
    <w:rsid w:val="0082629F"/>
    <w:rsid w:val="00827416"/>
    <w:rsid w:val="00835783"/>
    <w:rsid w:val="00836551"/>
    <w:rsid w:val="008367B3"/>
    <w:rsid w:val="00841BCF"/>
    <w:rsid w:val="00843D7B"/>
    <w:rsid w:val="00846358"/>
    <w:rsid w:val="00850A5F"/>
    <w:rsid w:val="00857FC5"/>
    <w:rsid w:val="00893397"/>
    <w:rsid w:val="00894F52"/>
    <w:rsid w:val="00895CB2"/>
    <w:rsid w:val="008A1233"/>
    <w:rsid w:val="008A636C"/>
    <w:rsid w:val="008B24B1"/>
    <w:rsid w:val="008B3642"/>
    <w:rsid w:val="008B5E31"/>
    <w:rsid w:val="008C581A"/>
    <w:rsid w:val="008C7183"/>
    <w:rsid w:val="008D1E36"/>
    <w:rsid w:val="008D672B"/>
    <w:rsid w:val="008F34BF"/>
    <w:rsid w:val="008F4437"/>
    <w:rsid w:val="008F590F"/>
    <w:rsid w:val="008F754D"/>
    <w:rsid w:val="00901D23"/>
    <w:rsid w:val="00903546"/>
    <w:rsid w:val="009037DE"/>
    <w:rsid w:val="00910AA0"/>
    <w:rsid w:val="00916D95"/>
    <w:rsid w:val="00917C33"/>
    <w:rsid w:val="00927EB4"/>
    <w:rsid w:val="0093286D"/>
    <w:rsid w:val="00936F43"/>
    <w:rsid w:val="00946409"/>
    <w:rsid w:val="0094775F"/>
    <w:rsid w:val="00954563"/>
    <w:rsid w:val="00957AE4"/>
    <w:rsid w:val="00961035"/>
    <w:rsid w:val="0096433E"/>
    <w:rsid w:val="00970D37"/>
    <w:rsid w:val="00972F7D"/>
    <w:rsid w:val="0098248A"/>
    <w:rsid w:val="009855B3"/>
    <w:rsid w:val="009870DD"/>
    <w:rsid w:val="00987866"/>
    <w:rsid w:val="00995658"/>
    <w:rsid w:val="009A273F"/>
    <w:rsid w:val="009A3C0E"/>
    <w:rsid w:val="009A3CCF"/>
    <w:rsid w:val="009D01FC"/>
    <w:rsid w:val="009D39FF"/>
    <w:rsid w:val="009E077E"/>
    <w:rsid w:val="009E0CC4"/>
    <w:rsid w:val="009E21DC"/>
    <w:rsid w:val="009E2B63"/>
    <w:rsid w:val="009E53BE"/>
    <w:rsid w:val="009E5F21"/>
    <w:rsid w:val="009F02E7"/>
    <w:rsid w:val="009F1D05"/>
    <w:rsid w:val="009F588E"/>
    <w:rsid w:val="00A05A36"/>
    <w:rsid w:val="00A118EC"/>
    <w:rsid w:val="00A205A2"/>
    <w:rsid w:val="00A20C70"/>
    <w:rsid w:val="00A24F9E"/>
    <w:rsid w:val="00A25283"/>
    <w:rsid w:val="00A25B7B"/>
    <w:rsid w:val="00A27DE4"/>
    <w:rsid w:val="00A3124C"/>
    <w:rsid w:val="00A32D0D"/>
    <w:rsid w:val="00A332CE"/>
    <w:rsid w:val="00A3491B"/>
    <w:rsid w:val="00A41625"/>
    <w:rsid w:val="00A5044A"/>
    <w:rsid w:val="00A51B67"/>
    <w:rsid w:val="00A53092"/>
    <w:rsid w:val="00A56110"/>
    <w:rsid w:val="00A6497D"/>
    <w:rsid w:val="00A65C7D"/>
    <w:rsid w:val="00A66692"/>
    <w:rsid w:val="00A6794E"/>
    <w:rsid w:val="00A70BEC"/>
    <w:rsid w:val="00A732B7"/>
    <w:rsid w:val="00A754B5"/>
    <w:rsid w:val="00A80CDA"/>
    <w:rsid w:val="00A835F3"/>
    <w:rsid w:val="00A8710E"/>
    <w:rsid w:val="00A91C7F"/>
    <w:rsid w:val="00AA07CE"/>
    <w:rsid w:val="00AA2354"/>
    <w:rsid w:val="00AA473A"/>
    <w:rsid w:val="00AB00ED"/>
    <w:rsid w:val="00AB1764"/>
    <w:rsid w:val="00AB3CC3"/>
    <w:rsid w:val="00AB7245"/>
    <w:rsid w:val="00AC3257"/>
    <w:rsid w:val="00AC38F1"/>
    <w:rsid w:val="00AD392B"/>
    <w:rsid w:val="00AD6778"/>
    <w:rsid w:val="00AE366B"/>
    <w:rsid w:val="00AE3B04"/>
    <w:rsid w:val="00AE45E5"/>
    <w:rsid w:val="00AF69A9"/>
    <w:rsid w:val="00AF7D8F"/>
    <w:rsid w:val="00B00B77"/>
    <w:rsid w:val="00B02BFD"/>
    <w:rsid w:val="00B02DD3"/>
    <w:rsid w:val="00B061EE"/>
    <w:rsid w:val="00B16F54"/>
    <w:rsid w:val="00B22600"/>
    <w:rsid w:val="00B30D72"/>
    <w:rsid w:val="00B31BD3"/>
    <w:rsid w:val="00B32B85"/>
    <w:rsid w:val="00B33F06"/>
    <w:rsid w:val="00B354C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E2975"/>
    <w:rsid w:val="00BE44ED"/>
    <w:rsid w:val="00BE76A2"/>
    <w:rsid w:val="00BF1959"/>
    <w:rsid w:val="00BF6B87"/>
    <w:rsid w:val="00C03BB8"/>
    <w:rsid w:val="00C043C3"/>
    <w:rsid w:val="00C04C60"/>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711BF"/>
    <w:rsid w:val="00C75BA9"/>
    <w:rsid w:val="00C81574"/>
    <w:rsid w:val="00C83632"/>
    <w:rsid w:val="00C83895"/>
    <w:rsid w:val="00C8414B"/>
    <w:rsid w:val="00C8714D"/>
    <w:rsid w:val="00C91F6C"/>
    <w:rsid w:val="00C9257D"/>
    <w:rsid w:val="00C93448"/>
    <w:rsid w:val="00C964A7"/>
    <w:rsid w:val="00CA0A9A"/>
    <w:rsid w:val="00CA21E5"/>
    <w:rsid w:val="00CA477A"/>
    <w:rsid w:val="00CA635A"/>
    <w:rsid w:val="00CA639A"/>
    <w:rsid w:val="00CB212A"/>
    <w:rsid w:val="00CB3965"/>
    <w:rsid w:val="00CB5C96"/>
    <w:rsid w:val="00CD64A3"/>
    <w:rsid w:val="00CD6C87"/>
    <w:rsid w:val="00CD7B8A"/>
    <w:rsid w:val="00CE0EB4"/>
    <w:rsid w:val="00CE1FC0"/>
    <w:rsid w:val="00CE2989"/>
    <w:rsid w:val="00CE67E9"/>
    <w:rsid w:val="00CE77DF"/>
    <w:rsid w:val="00CE7DDF"/>
    <w:rsid w:val="00CF70F6"/>
    <w:rsid w:val="00D00D59"/>
    <w:rsid w:val="00D06214"/>
    <w:rsid w:val="00D0738E"/>
    <w:rsid w:val="00D151CC"/>
    <w:rsid w:val="00D2330D"/>
    <w:rsid w:val="00D25FB0"/>
    <w:rsid w:val="00D27460"/>
    <w:rsid w:val="00D30D07"/>
    <w:rsid w:val="00D3574E"/>
    <w:rsid w:val="00D42B51"/>
    <w:rsid w:val="00D50944"/>
    <w:rsid w:val="00D51E3A"/>
    <w:rsid w:val="00D5366B"/>
    <w:rsid w:val="00D60074"/>
    <w:rsid w:val="00D605BD"/>
    <w:rsid w:val="00D637D1"/>
    <w:rsid w:val="00D65191"/>
    <w:rsid w:val="00D667EE"/>
    <w:rsid w:val="00D733F0"/>
    <w:rsid w:val="00D75B95"/>
    <w:rsid w:val="00D76ED1"/>
    <w:rsid w:val="00D835BB"/>
    <w:rsid w:val="00D94547"/>
    <w:rsid w:val="00D95ADC"/>
    <w:rsid w:val="00D97348"/>
    <w:rsid w:val="00DB119E"/>
    <w:rsid w:val="00DB3831"/>
    <w:rsid w:val="00DC0D5A"/>
    <w:rsid w:val="00DC4353"/>
    <w:rsid w:val="00DC4749"/>
    <w:rsid w:val="00DC5678"/>
    <w:rsid w:val="00DC5E12"/>
    <w:rsid w:val="00DD3713"/>
    <w:rsid w:val="00DE33E1"/>
    <w:rsid w:val="00DE4E22"/>
    <w:rsid w:val="00DF4015"/>
    <w:rsid w:val="00DF537C"/>
    <w:rsid w:val="00DF5D94"/>
    <w:rsid w:val="00E007E5"/>
    <w:rsid w:val="00E01E30"/>
    <w:rsid w:val="00E066E8"/>
    <w:rsid w:val="00E06DFE"/>
    <w:rsid w:val="00E07528"/>
    <w:rsid w:val="00E23E58"/>
    <w:rsid w:val="00E25B2C"/>
    <w:rsid w:val="00E27256"/>
    <w:rsid w:val="00E303C6"/>
    <w:rsid w:val="00E35500"/>
    <w:rsid w:val="00E361AE"/>
    <w:rsid w:val="00E40E14"/>
    <w:rsid w:val="00E422EE"/>
    <w:rsid w:val="00E50E66"/>
    <w:rsid w:val="00E57005"/>
    <w:rsid w:val="00E570BD"/>
    <w:rsid w:val="00E601BB"/>
    <w:rsid w:val="00E66A11"/>
    <w:rsid w:val="00E672BD"/>
    <w:rsid w:val="00E67DE8"/>
    <w:rsid w:val="00E67DEC"/>
    <w:rsid w:val="00E70085"/>
    <w:rsid w:val="00E76E0B"/>
    <w:rsid w:val="00E804C7"/>
    <w:rsid w:val="00E816C3"/>
    <w:rsid w:val="00E8586D"/>
    <w:rsid w:val="00E8798A"/>
    <w:rsid w:val="00E903F4"/>
    <w:rsid w:val="00EA0F4E"/>
    <w:rsid w:val="00EA27E9"/>
    <w:rsid w:val="00EA4294"/>
    <w:rsid w:val="00EB5DBE"/>
    <w:rsid w:val="00EB6994"/>
    <w:rsid w:val="00EC1F29"/>
    <w:rsid w:val="00EC3C97"/>
    <w:rsid w:val="00EC74F5"/>
    <w:rsid w:val="00ED24C8"/>
    <w:rsid w:val="00ED59D5"/>
    <w:rsid w:val="00EE6765"/>
    <w:rsid w:val="00EE76AB"/>
    <w:rsid w:val="00EF6542"/>
    <w:rsid w:val="00EF6689"/>
    <w:rsid w:val="00F0052E"/>
    <w:rsid w:val="00F030DB"/>
    <w:rsid w:val="00F07EBA"/>
    <w:rsid w:val="00F16080"/>
    <w:rsid w:val="00F21449"/>
    <w:rsid w:val="00F227AC"/>
    <w:rsid w:val="00F27E9F"/>
    <w:rsid w:val="00F372F9"/>
    <w:rsid w:val="00F455D2"/>
    <w:rsid w:val="00F517AB"/>
    <w:rsid w:val="00F56FA4"/>
    <w:rsid w:val="00F6024F"/>
    <w:rsid w:val="00F64768"/>
    <w:rsid w:val="00F65695"/>
    <w:rsid w:val="00F65FB1"/>
    <w:rsid w:val="00F67988"/>
    <w:rsid w:val="00F757A6"/>
    <w:rsid w:val="00F76C03"/>
    <w:rsid w:val="00F83D6B"/>
    <w:rsid w:val="00F83D6F"/>
    <w:rsid w:val="00F84310"/>
    <w:rsid w:val="00F9363A"/>
    <w:rsid w:val="00F95CA2"/>
    <w:rsid w:val="00FA2145"/>
    <w:rsid w:val="00FB099A"/>
    <w:rsid w:val="00FC0199"/>
    <w:rsid w:val="00FC2A0B"/>
    <w:rsid w:val="00FC495E"/>
    <w:rsid w:val="00FD0AAC"/>
    <w:rsid w:val="00FD7007"/>
    <w:rsid w:val="00FE18F5"/>
    <w:rsid w:val="00FE6B53"/>
    <w:rsid w:val="00FF1801"/>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9E21DC"/>
    <w:pPr>
      <w:tabs>
        <w:tab w:val="left" w:pos="720"/>
        <w:tab w:val="left" w:pos="1200"/>
        <w:tab w:val="right" w:leader="dot" w:pos="13695"/>
      </w:tabs>
      <w:spacing w:before="60" w:after="60"/>
      <w:ind w:left="720"/>
    </w:pPr>
    <w:rPr>
      <w:noProof/>
      <w:color w:val="00B050"/>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 ds:uri="e0ff0205-9775-4d11-817e-13aacec916c5"/>
    <ds:schemaRef ds:uri="http://schemas.microsoft.com/office/2006/metadata/properties"/>
  </ds:schemaRefs>
</ds:datastoreItem>
</file>

<file path=customXml/itemProps5.xml><?xml version="1.0" encoding="utf-8"?>
<ds:datastoreItem xmlns:ds="http://schemas.openxmlformats.org/officeDocument/2006/customXml" ds:itemID="{C713F6A3-93FD-4540-9BB5-9C5DE563D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1738</Words>
  <Characters>9909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11624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12</cp:revision>
  <cp:lastPrinted>2019-02-27T05:29:00Z</cp:lastPrinted>
  <dcterms:created xsi:type="dcterms:W3CDTF">2019-07-11T05:03:00Z</dcterms:created>
  <dcterms:modified xsi:type="dcterms:W3CDTF">2019-07-22T04:25:00Z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