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DC5" w:rsidRPr="000C3119" w:rsidRDefault="00A3512E">
      <w:pPr>
        <w:pStyle w:val="Title"/>
        <w:ind w:left="498"/>
        <w:jc w:val="left"/>
        <w:rPr>
          <w:sz w:val="20"/>
          <w:szCs w:val="20"/>
          <w:u w:val="none"/>
          <w:cs/>
        </w:rPr>
      </w:pPr>
      <w:r>
        <w:rPr>
          <w:sz w:val="20"/>
          <w:szCs w:val="20"/>
          <w:u w:val="none"/>
        </w:rPr>
        <w:t xml:space="preserve">Summary of changes on </w:t>
      </w:r>
      <w:r w:rsidR="00C52DC5" w:rsidRPr="000C3119">
        <w:rPr>
          <w:sz w:val="20"/>
          <w:szCs w:val="20"/>
          <w:u w:val="none"/>
        </w:rPr>
        <w:t>“</w:t>
      </w:r>
      <w:r w:rsidR="006A0E0C">
        <w:rPr>
          <w:sz w:val="20"/>
          <w:szCs w:val="20"/>
        </w:rPr>
        <w:t>MGL</w:t>
      </w:r>
      <w:r w:rsidR="00A94B6A" w:rsidRPr="00A94B6A">
        <w:rPr>
          <w:sz w:val="20"/>
          <w:szCs w:val="20"/>
        </w:rPr>
        <w:t xml:space="preserve"> </w:t>
      </w:r>
      <w:r w:rsidR="00C52DC5" w:rsidRPr="00A94B6A">
        <w:rPr>
          <w:sz w:val="20"/>
          <w:szCs w:val="20"/>
        </w:rPr>
        <w:t>Data Set Manual</w:t>
      </w:r>
      <w:r w:rsidR="00C52DC5" w:rsidRPr="000C3119">
        <w:rPr>
          <w:sz w:val="20"/>
          <w:szCs w:val="20"/>
          <w:u w:val="none"/>
        </w:rPr>
        <w:t>”</w:t>
      </w:r>
    </w:p>
    <w:p w:rsidR="00930B9C" w:rsidRPr="000C3119" w:rsidRDefault="00C52DC5" w:rsidP="000C3119">
      <w:pPr>
        <w:pStyle w:val="Title"/>
        <w:spacing w:before="120"/>
        <w:ind w:left="499"/>
        <w:jc w:val="left"/>
        <w:rPr>
          <w:sz w:val="20"/>
          <w:szCs w:val="20"/>
          <w:u w:val="none"/>
        </w:rPr>
      </w:pPr>
      <w:r w:rsidRPr="000C3119">
        <w:rPr>
          <w:sz w:val="20"/>
          <w:szCs w:val="20"/>
          <w:u w:val="none"/>
        </w:rPr>
        <w:t xml:space="preserve">Update on </w:t>
      </w:r>
      <w:r w:rsidR="006A0E0C">
        <w:rPr>
          <w:sz w:val="20"/>
          <w:szCs w:val="20"/>
          <w:u w:val="none"/>
        </w:rPr>
        <w:t>MGL</w:t>
      </w:r>
      <w:r w:rsidR="00766655">
        <w:rPr>
          <w:sz w:val="20"/>
          <w:szCs w:val="20"/>
          <w:u w:val="none"/>
        </w:rPr>
        <w:t xml:space="preserve"> </w:t>
      </w:r>
      <w:r w:rsidRPr="000C3119">
        <w:rPr>
          <w:sz w:val="20"/>
          <w:szCs w:val="20"/>
          <w:u w:val="none"/>
        </w:rPr>
        <w:t xml:space="preserve">Data Set Manual Version </w:t>
      </w:r>
      <w:r w:rsidR="00930B9C" w:rsidRPr="000C3119">
        <w:rPr>
          <w:sz w:val="20"/>
          <w:szCs w:val="20"/>
          <w:u w:val="none"/>
        </w:rPr>
        <w:t>1.</w:t>
      </w:r>
      <w:r w:rsidR="006365D4">
        <w:rPr>
          <w:sz w:val="20"/>
          <w:szCs w:val="20"/>
          <w:u w:val="none"/>
        </w:rPr>
        <w:t>2</w:t>
      </w:r>
    </w:p>
    <w:p w:rsidR="00A90FE4" w:rsidRDefault="00C52DC5" w:rsidP="0051035A">
      <w:pPr>
        <w:pStyle w:val="Sub-block"/>
        <w:ind w:left="0" w:firstLine="499"/>
        <w:rPr>
          <w:rFonts w:cs="Tahoma"/>
          <w:b w:val="0"/>
          <w:bCs w:val="0"/>
          <w:color w:val="365F91"/>
          <w:sz w:val="20"/>
          <w:szCs w:val="20"/>
          <w:cs/>
          <w:lang w:bidi="th-TH"/>
        </w:rPr>
      </w:pPr>
      <w:r w:rsidRPr="000C3119">
        <w:rPr>
          <w:rFonts w:cs="Tahoma"/>
          <w:sz w:val="20"/>
          <w:szCs w:val="20"/>
        </w:rPr>
        <w:t xml:space="preserve">Remarks: All changes from version </w:t>
      </w:r>
      <w:r w:rsidR="0037196D" w:rsidRPr="000C3119">
        <w:rPr>
          <w:rFonts w:cs="Tahoma"/>
          <w:sz w:val="20"/>
          <w:szCs w:val="20"/>
        </w:rPr>
        <w:t>1.</w:t>
      </w:r>
      <w:r w:rsidR="006365D4">
        <w:rPr>
          <w:rFonts w:cs="Tahoma"/>
          <w:sz w:val="20"/>
          <w:szCs w:val="20"/>
        </w:rPr>
        <w:t>1</w:t>
      </w:r>
      <w:r w:rsidR="0037196D" w:rsidRPr="000C3119">
        <w:rPr>
          <w:rFonts w:cs="Tahoma"/>
          <w:sz w:val="20"/>
          <w:szCs w:val="20"/>
        </w:rPr>
        <w:t xml:space="preserve"> </w:t>
      </w:r>
      <w:r w:rsidRPr="000C3119">
        <w:rPr>
          <w:rFonts w:cs="Tahoma"/>
          <w:sz w:val="20"/>
          <w:szCs w:val="20"/>
        </w:rPr>
        <w:t xml:space="preserve">to version </w:t>
      </w:r>
      <w:r w:rsidR="00A94B6A">
        <w:rPr>
          <w:rFonts w:cs="Tahoma"/>
          <w:sz w:val="20"/>
          <w:szCs w:val="20"/>
          <w:lang w:bidi="th-TH"/>
        </w:rPr>
        <w:t>1</w:t>
      </w:r>
      <w:r w:rsidR="005945F0">
        <w:rPr>
          <w:rFonts w:cs="Tahoma"/>
          <w:sz w:val="20"/>
          <w:szCs w:val="20"/>
          <w:lang w:bidi="th-TH"/>
        </w:rPr>
        <w:t>.</w:t>
      </w:r>
      <w:r w:rsidR="006365D4">
        <w:rPr>
          <w:rFonts w:cs="Tahoma"/>
          <w:sz w:val="20"/>
          <w:szCs w:val="20"/>
        </w:rPr>
        <w:t>2</w:t>
      </w:r>
      <w:r w:rsidR="000940E0" w:rsidRPr="000C3119">
        <w:rPr>
          <w:rFonts w:cs="Tahoma"/>
          <w:sz w:val="20"/>
          <w:szCs w:val="20"/>
        </w:rPr>
        <w:t xml:space="preserve"> </w:t>
      </w:r>
      <w:r w:rsidRPr="000C3119">
        <w:rPr>
          <w:rFonts w:cs="Tahoma"/>
          <w:sz w:val="20"/>
          <w:szCs w:val="20"/>
        </w:rPr>
        <w:t>are in</w:t>
      </w:r>
      <w:r w:rsidR="007412BE" w:rsidRPr="000C3119">
        <w:rPr>
          <w:rFonts w:cs="Tahoma"/>
          <w:sz w:val="20"/>
          <w:szCs w:val="20"/>
        </w:rPr>
        <w:t xml:space="preserve"> </w:t>
      </w:r>
      <w:r w:rsidR="006365D4">
        <w:rPr>
          <w:rFonts w:cs="Tahoma"/>
          <w:color w:val="FF0000"/>
          <w:sz w:val="20"/>
          <w:szCs w:val="20"/>
        </w:rPr>
        <w:t>red</w:t>
      </w:r>
      <w:r w:rsidR="000940E0" w:rsidRPr="006365D4">
        <w:rPr>
          <w:rFonts w:cs="Tahoma"/>
          <w:color w:val="FF0000"/>
          <w:sz w:val="20"/>
          <w:szCs w:val="20"/>
        </w:rPr>
        <w:t xml:space="preserve"> font</w:t>
      </w:r>
      <w:r w:rsidR="000364B8" w:rsidRPr="006365D4">
        <w:rPr>
          <w:rFonts w:cs="Tahoma"/>
          <w:color w:val="FF0000"/>
          <w:sz w:val="20"/>
          <w:szCs w:val="20"/>
        </w:rPr>
        <w:t xml:space="preserve">. </w:t>
      </w:r>
      <w:r w:rsidR="000364B8" w:rsidRPr="00A94B6A">
        <w:rPr>
          <w:rFonts w:cs="Tahoma"/>
          <w:b w:val="0"/>
          <w:bCs w:val="0"/>
          <w:color w:val="0000FF"/>
          <w:sz w:val="20"/>
          <w:szCs w:val="20"/>
        </w:rPr>
        <w:t xml:space="preserve">  </w:t>
      </w:r>
    </w:p>
    <w:p w:rsidR="00BB72E3" w:rsidRPr="0034273C" w:rsidRDefault="000364B8" w:rsidP="00FE2251">
      <w:pPr>
        <w:pStyle w:val="Sub-block"/>
        <w:ind w:left="0"/>
        <w:rPr>
          <w:rFonts w:cs="Tahoma"/>
          <w:color w:val="365F91"/>
          <w:sz w:val="20"/>
          <w:szCs w:val="20"/>
          <w:lang w:bidi="th-TH"/>
        </w:rPr>
      </w:pPr>
      <w:r w:rsidRPr="0034273C">
        <w:rPr>
          <w:rFonts w:cs="Tahoma"/>
          <w:b w:val="0"/>
          <w:bCs w:val="0"/>
          <w:color w:val="365F91"/>
          <w:sz w:val="20"/>
          <w:szCs w:val="20"/>
        </w:rPr>
        <w:t xml:space="preserve">  </w:t>
      </w:r>
    </w:p>
    <w:tbl>
      <w:tblPr>
        <w:tblW w:w="15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815"/>
      </w:tblGrid>
      <w:tr w:rsidR="00C52DC5" w:rsidRPr="00A94B6A" w:rsidTr="008C5C67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81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9A3553" w:rsidRPr="00A94B6A" w:rsidTr="006B4670">
        <w:trPr>
          <w:trHeight w:val="433"/>
        </w:trPr>
        <w:tc>
          <w:tcPr>
            <w:tcW w:w="1075" w:type="dxa"/>
            <w:vMerge w:val="restart"/>
            <w:shd w:val="clear" w:color="auto" w:fill="auto"/>
          </w:tcPr>
          <w:p w:rsidR="009A3553" w:rsidRPr="00A94B6A" w:rsidRDefault="009A3553" w:rsidP="00B36E6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V 1.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2</w:t>
            </w:r>
          </w:p>
        </w:tc>
        <w:tc>
          <w:tcPr>
            <w:tcW w:w="881" w:type="dxa"/>
          </w:tcPr>
          <w:p w:rsidR="009A3553" w:rsidRPr="00B36E61" w:rsidRDefault="009A3553" w:rsidP="00B36E6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7</w:t>
            </w:r>
          </w:p>
        </w:tc>
        <w:tc>
          <w:tcPr>
            <w:tcW w:w="1305" w:type="dxa"/>
          </w:tcPr>
          <w:p w:rsidR="009A3553" w:rsidRPr="00A94B6A" w:rsidRDefault="009A3553" w:rsidP="00B36E6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MGL</w:t>
            </w:r>
          </w:p>
        </w:tc>
        <w:tc>
          <w:tcPr>
            <w:tcW w:w="2126" w:type="dxa"/>
          </w:tcPr>
          <w:p w:rsidR="009A3553" w:rsidRPr="006A0E0C" w:rsidRDefault="009A3553" w:rsidP="00B36E6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9815" w:type="dxa"/>
          </w:tcPr>
          <w:p w:rsidR="009A3553" w:rsidRPr="005E7406" w:rsidRDefault="009A3553" w:rsidP="00B36E61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6365D4">
              <w:rPr>
                <w:sz w:val="20"/>
                <w:szCs w:val="20"/>
                <w:cs/>
              </w:rPr>
              <w:t>สถาบันการเงินที่ต้องรายงาน</w:t>
            </w:r>
          </w:p>
          <w:p w:rsidR="009A3553" w:rsidRPr="00B36E61" w:rsidRDefault="009A3553" w:rsidP="006365D4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ยกเลิก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สถาบันการเงินเฉพาะกิจ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</w:tc>
      </w:tr>
      <w:tr w:rsidR="009A3553" w:rsidRPr="00A94B6A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9A3553" w:rsidRPr="00A94B6A" w:rsidRDefault="009A3553" w:rsidP="00B36E6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9A3553" w:rsidRPr="00B36E61" w:rsidRDefault="009A3553" w:rsidP="0042571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9-10</w:t>
            </w:r>
          </w:p>
        </w:tc>
        <w:tc>
          <w:tcPr>
            <w:tcW w:w="1305" w:type="dxa"/>
          </w:tcPr>
          <w:p w:rsidR="009A3553" w:rsidRPr="00A94B6A" w:rsidRDefault="009A3553" w:rsidP="00B36E6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MGL</w:t>
            </w:r>
          </w:p>
        </w:tc>
        <w:tc>
          <w:tcPr>
            <w:tcW w:w="2126" w:type="dxa"/>
          </w:tcPr>
          <w:p w:rsidR="009A3553" w:rsidRPr="00A94B6A" w:rsidRDefault="009A3553" w:rsidP="007E50E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F5ECD">
              <w:rPr>
                <w:b w:val="0"/>
                <w:bCs w:val="0"/>
                <w:sz w:val="20"/>
                <w:szCs w:val="20"/>
                <w:u w:val="none"/>
              </w:rPr>
              <w:t>Borrower's Income</w:t>
            </w:r>
          </w:p>
        </w:tc>
        <w:tc>
          <w:tcPr>
            <w:tcW w:w="9815" w:type="dxa"/>
          </w:tcPr>
          <w:p w:rsidR="009A3553" w:rsidRPr="005E7406" w:rsidRDefault="009A3553" w:rsidP="00B36E61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cs/>
              </w:rPr>
            </w:pPr>
            <w:r>
              <w:rPr>
                <w:rFonts w:hint="cs"/>
                <w:sz w:val="20"/>
                <w:szCs w:val="20"/>
                <w:cs/>
              </w:rPr>
              <w:t>คำอธิบาย</w:t>
            </w:r>
          </w:p>
          <w:p w:rsidR="009A3553" w:rsidRDefault="009A3553" w:rsidP="00CB35B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</w:p>
          <w:p w:rsidR="009A3553" w:rsidRDefault="009A3553" w:rsidP="00CB35B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8F5ECD">
              <w:rPr>
                <w:b w:val="0"/>
                <w:bCs w:val="0"/>
                <w:sz w:val="20"/>
                <w:szCs w:val="20"/>
                <w:u w:val="none"/>
                <w:cs/>
              </w:rPr>
              <w:t>รายได้รวมของผู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้กู้ (ผู้กู้หลัก + ผู้กู้ร่วม) </w:t>
            </w:r>
            <w:r w:rsidRPr="008F5ECD">
              <w:rPr>
                <w:b w:val="0"/>
                <w:bCs w:val="0"/>
                <w:sz w:val="20"/>
                <w:szCs w:val="20"/>
                <w:u w:val="none"/>
                <w:cs/>
              </w:rPr>
              <w:t>(หน่วย: บาทต่อเดือน)</w:t>
            </w: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</w:p>
          <w:p w:rsidR="009A3553" w:rsidRDefault="009A3553" w:rsidP="00CB35B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</w:p>
          <w:p w:rsidR="009A3553" w:rsidRPr="00DE7F5E" w:rsidRDefault="009A3553" w:rsidP="00DE7F5E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รายได้รวมของผู้กู้ (หน่วย: บาทต่อเดือน) ซึ่งแบ่งออกเป็น 2 กรณี ได้แก่</w:t>
            </w:r>
          </w:p>
          <w:p w:rsidR="009A3553" w:rsidRPr="008F5ECD" w:rsidRDefault="009A3553" w:rsidP="008F5ECD">
            <w:pPr>
              <w:pStyle w:val="Title"/>
              <w:spacing w:line="360" w:lineRule="auto"/>
              <w:jc w:val="left"/>
              <w:rPr>
                <w:color w:val="FF0000"/>
                <w:sz w:val="20"/>
                <w:szCs w:val="20"/>
                <w:u w:val="none"/>
              </w:rPr>
            </w:pPr>
            <w:r w:rsidRPr="008F5ECD">
              <w:rPr>
                <w:color w:val="FF0000"/>
                <w:sz w:val="20"/>
                <w:szCs w:val="20"/>
                <w:u w:val="none"/>
              </w:rPr>
              <w:t xml:space="preserve">(1) Employed </w:t>
            </w:r>
          </w:p>
          <w:p w:rsidR="009A3553" w:rsidRPr="008F5ECD" w:rsidRDefault="009A3553" w:rsidP="008F5ECD">
            <w:pPr>
              <w:pStyle w:val="Title"/>
              <w:spacing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(1.1) </w:t>
            </w: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รายได้คงที่ ให้ใช้รายได้ต่อเดือนงวดล่าสุด</w:t>
            </w:r>
          </w:p>
          <w:p w:rsidR="009A3553" w:rsidRPr="008F5ECD" w:rsidRDefault="009A3553" w:rsidP="008F5ECD">
            <w:pPr>
              <w:pStyle w:val="Title"/>
              <w:spacing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(1.2) </w:t>
            </w: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รายได้ไม่คงที่ </w:t>
            </w:r>
          </w:p>
          <w:p w:rsidR="009A3553" w:rsidRPr="008F5ECD" w:rsidRDefault="009A3553" w:rsidP="008F5ECD">
            <w:pPr>
              <w:pStyle w:val="Title"/>
              <w:spacing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(1.2.1) </w:t>
            </w: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กรณีที่ได้รับเป็นรายเดือน เช่น ค่าล่วงเวลา ค่านายหน้า ค่าเบี้ยเลี้ยง เป็นต้น ให้ใช้รายได้เฉลี่ยย้อนหลังอย่างน้อย </w:t>
            </w: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3</w:t>
            </w: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 เดือน </w:t>
            </w:r>
          </w:p>
          <w:p w:rsidR="009A3553" w:rsidRPr="008F5ECD" w:rsidRDefault="009A3553" w:rsidP="008F5ECD">
            <w:pPr>
              <w:pStyle w:val="Title"/>
              <w:spacing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(1.2.2) </w:t>
            </w: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กรณีที่ได้รับเป็นรายไตรมาส หรือ รายปี เช่น โบนัส ให้ใช้รายได้เฉลี่ยต่อเดือน</w:t>
            </w:r>
          </w:p>
          <w:p w:rsidR="009A3553" w:rsidRPr="00545D3B" w:rsidRDefault="009A3553" w:rsidP="008F5ECD">
            <w:pPr>
              <w:pStyle w:val="Title"/>
              <w:spacing w:line="360" w:lineRule="auto"/>
              <w:jc w:val="left"/>
              <w:rPr>
                <w:color w:val="FF0000"/>
                <w:sz w:val="20"/>
                <w:szCs w:val="20"/>
                <w:u w:val="none"/>
              </w:rPr>
            </w:pPr>
            <w:r w:rsidRPr="00545D3B">
              <w:rPr>
                <w:color w:val="FF0000"/>
                <w:sz w:val="20"/>
                <w:szCs w:val="20"/>
                <w:u w:val="none"/>
              </w:rPr>
              <w:t>(2) Self-employed</w:t>
            </w:r>
          </w:p>
          <w:p w:rsidR="009A3553" w:rsidRPr="008F5ECD" w:rsidRDefault="009A3553" w:rsidP="008F5ECD">
            <w:pPr>
              <w:pStyle w:val="Title"/>
              <w:spacing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ให้อ้างอิงประมาณการรายได้โดยนำปัจจัยเกี่ยวกับ </w:t>
            </w: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income margin (</w:t>
            </w: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ซึ่งหมายถึง ประมาณการสัดส่วนรายได้สุทธิต่อรายได้ของกิจการ) มาประกอบการพิจารณา ตามหลักการ ได้แก่</w:t>
            </w:r>
          </w:p>
          <w:p w:rsidR="009A3553" w:rsidRPr="008F5ECD" w:rsidRDefault="009A3553" w:rsidP="008F5ECD">
            <w:pPr>
              <w:pStyle w:val="Title"/>
              <w:spacing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lastRenderedPageBreak/>
              <w:t xml:space="preserve">(2.1) </w:t>
            </w: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วิธีการประเมินมีความน่าเชื่อถือ เช่น มีหลักฐานการประมาณการรายได้ที่ชัดเจน (</w:t>
            </w: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bank statement) </w:t>
            </w: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และ/หรือ มีการตรวจสอบ/ทดสอบความถูกต้องของการประมาณการได้อย่างน่าเชื่อถือ</w:t>
            </w:r>
          </w:p>
          <w:p w:rsidR="009A3553" w:rsidRPr="008F5ECD" w:rsidRDefault="009A3553" w:rsidP="008F5ECD">
            <w:pPr>
              <w:pStyle w:val="Title"/>
              <w:spacing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(2.2) </w:t>
            </w: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มีการคำนึงถึงผลด้านฤดูกาล (</w:t>
            </w: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seasonal effect) </w:t>
            </w: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เช่น ใช้ค่าเฉลี่ยย้อนหลังอย่างน้อย </w:t>
            </w: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6</w:t>
            </w: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 เดือน</w:t>
            </w:r>
          </w:p>
          <w:p w:rsidR="009A3553" w:rsidRPr="00F16C73" w:rsidRDefault="009A3553" w:rsidP="008F5ECD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(2.3) </w:t>
            </w: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มีการตัดรายการที่มิใช่รายได้ที่ได้รับสม่ำเสมอ หรือเป็นประจำ เช่น รายได้จากการถูกรางวัล การได้รับมรดก เป็นต้น</w:t>
            </w:r>
            <w:r w:rsidRPr="00F16C73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9A3553" w:rsidRPr="00A94B6A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9A3553" w:rsidRPr="00A94B6A" w:rsidRDefault="009A3553" w:rsidP="00B36E61">
            <w:pPr>
              <w:pStyle w:val="Title"/>
              <w:spacing w:before="120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9A3553" w:rsidRPr="00F731E7" w:rsidRDefault="009A3553" w:rsidP="00CF00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731E7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Pr="00F731E7">
              <w:rPr>
                <w:b w:val="0"/>
                <w:bCs w:val="0"/>
                <w:sz w:val="20"/>
                <w:szCs w:val="20"/>
                <w:u w:val="none"/>
              </w:rPr>
              <w:t>-1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2</w:t>
            </w:r>
          </w:p>
        </w:tc>
        <w:tc>
          <w:tcPr>
            <w:tcW w:w="1305" w:type="dxa"/>
          </w:tcPr>
          <w:p w:rsidR="009A3553" w:rsidRPr="00F731E7" w:rsidRDefault="009A3553" w:rsidP="00B36E6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731E7">
              <w:rPr>
                <w:b w:val="0"/>
                <w:bCs w:val="0"/>
                <w:sz w:val="20"/>
                <w:szCs w:val="20"/>
                <w:u w:val="none"/>
              </w:rPr>
              <w:t>MGL</w:t>
            </w:r>
          </w:p>
        </w:tc>
        <w:tc>
          <w:tcPr>
            <w:tcW w:w="2126" w:type="dxa"/>
          </w:tcPr>
          <w:p w:rsidR="009A3553" w:rsidRPr="00A94B6A" w:rsidRDefault="009A3553" w:rsidP="007E50E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E4987">
              <w:rPr>
                <w:b w:val="0"/>
                <w:bCs w:val="0"/>
                <w:sz w:val="20"/>
                <w:szCs w:val="20"/>
                <w:u w:val="none"/>
              </w:rPr>
              <w:t>Repayment Amount (Baht)</w:t>
            </w:r>
          </w:p>
        </w:tc>
        <w:tc>
          <w:tcPr>
            <w:tcW w:w="9815" w:type="dxa"/>
          </w:tcPr>
          <w:p w:rsidR="009A3553" w:rsidRDefault="009A3553" w:rsidP="00B36E61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cs/>
              </w:rPr>
              <w:t>คำอธิบาย</w:t>
            </w:r>
          </w:p>
          <w:p w:rsidR="00D24AE0" w:rsidRDefault="00D24AE0" w:rsidP="00D24AE0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FE668A">
              <w:rPr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</w:p>
          <w:p w:rsidR="00D24AE0" w:rsidRPr="00D24AE0" w:rsidRDefault="00D24AE0" w:rsidP="00D24AE0">
            <w:pPr>
              <w:pStyle w:val="Title"/>
              <w:spacing w:line="360" w:lineRule="auto"/>
              <w:jc w:val="left"/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</w:pPr>
            <w:r w:rsidRPr="00D24AE0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D24AE0">
              <w:rPr>
                <w:b w:val="0"/>
                <w:bCs w:val="0"/>
                <w:sz w:val="20"/>
                <w:szCs w:val="20"/>
                <w:u w:val="none"/>
              </w:rPr>
              <w:t>•</w:t>
            </w:r>
            <w:r w:rsidRPr="00D24AE0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D24AE0">
              <w:rPr>
                <w:b w:val="0"/>
                <w:bCs w:val="0"/>
                <w:sz w:val="20"/>
                <w:szCs w:val="20"/>
                <w:u w:val="none"/>
                <w:cs/>
              </w:rPr>
              <w:t>กรณีที่ค่างวดไม่เท่ากันให้ใช้ค่างวดที่สูงสุด หรือ ค่างวดที่สะท้อนความสามารถการชำระหนี้ของลูกหนี้</w:t>
            </w:r>
            <w:r w:rsidRPr="00D24AE0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:rsidR="009A3553" w:rsidRDefault="009A3553" w:rsidP="00DE7F5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</w:t>
            </w:r>
            <w:r w:rsidR="00D24AE0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ป็น</w:t>
            </w:r>
            <w:bookmarkStart w:id="0" w:name="_GoBack"/>
            <w:bookmarkEnd w:id="0"/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:rsidR="009A3553" w:rsidRPr="001E4987" w:rsidRDefault="009A3553" w:rsidP="001E4987">
            <w:pPr>
              <w:pStyle w:val="Title"/>
              <w:spacing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1E4987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• </w:t>
            </w:r>
            <w:r w:rsidRPr="001E4987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หนี้ประเภทที่มีค่างวดชัดเจน (</w:t>
            </w:r>
            <w:r w:rsidRPr="001E4987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Non-revolving)</w:t>
            </w:r>
          </w:p>
          <w:p w:rsidR="009A3553" w:rsidRPr="001E4987" w:rsidRDefault="009A3553" w:rsidP="001E4987">
            <w:pPr>
              <w:pStyle w:val="Title"/>
              <w:spacing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1E4987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   (1) </w:t>
            </w:r>
            <w:r w:rsidRPr="001E4987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ภาระหนี้ที่ผ่อนชำระต่อเดือนคงที่ ให้ใช้ภาระหนี้ที่ต้องชำระต่อเดือนตามที่อนุมัติในครั้งนี้</w:t>
            </w:r>
          </w:p>
          <w:p w:rsidR="009A3553" w:rsidRPr="001E4987" w:rsidRDefault="009A3553" w:rsidP="001E4987">
            <w:pPr>
              <w:pStyle w:val="Title"/>
              <w:spacing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1E4987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   (2) </w:t>
            </w:r>
            <w:r w:rsidRPr="001E4987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ภาระหนี้ที่ผ่อนชำระต่อเดือนไม่คงที่ ให้ใช้ภาระหนี้ที่ต้องชำระต่อเดือนสูงสุด เว้นแต่ ในกรณีที่ภาระหนี้ที่ต้องชำระต่อเดือนมีลักษณะให้จ่ายชำระงวดหลังๆ เป็นจำนวนเงินที่สูงมาก (</w:t>
            </w:r>
            <w:r w:rsidRPr="001E4987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bullet payment) </w:t>
            </w:r>
            <w:r w:rsidRPr="001E4987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หรือให้จ่ายชำระโดยอิงกับกระแสเงินสดรับตามฤดูกาล (</w:t>
            </w:r>
            <w:r w:rsidRPr="001E4987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seasonal) </w:t>
            </w:r>
            <w:r w:rsidRPr="001E4987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ให้ใช้ภาระหนี้ที่ต้องชำระเฉลี่ยต่อเดือน ตลอดอายุสัญญาแทน</w:t>
            </w:r>
          </w:p>
          <w:p w:rsidR="009A3553" w:rsidRPr="001E4987" w:rsidRDefault="009A3553" w:rsidP="001E4987">
            <w:pPr>
              <w:pStyle w:val="Title"/>
              <w:spacing w:line="360" w:lineRule="auto"/>
              <w:jc w:val="left"/>
              <w:rPr>
                <w:sz w:val="20"/>
              </w:rPr>
            </w:pPr>
            <w:r w:rsidRPr="001E4987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• </w:t>
            </w:r>
            <w:r w:rsidRPr="001E4987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หนี้ประเภทหมุนเวียน (</w:t>
            </w:r>
            <w:r w:rsidRPr="001E4987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Revolving) </w:t>
            </w:r>
            <w:r w:rsidRPr="001E4987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ให้ใช้ % ยอดชำระขั้นต่ำตามที่สถาบันการเงินอนุมัติในครั้งนี้ (ไม่ต่ำกว่า </w:t>
            </w:r>
            <w:r w:rsidRPr="001E4987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3%) x </w:t>
            </w:r>
            <w:r w:rsidRPr="001E4987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วงเงินที่ขออนุมัติในครั้งนี้ และ สินเชื่อ </w:t>
            </w:r>
            <w:r w:rsidRPr="001E4987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O/D </w:t>
            </w:r>
            <w:r w:rsidRPr="001E4987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ที่มิใช่เพื่อประกอบธุรกิจ ให้ใช้อัตราดอกเบี้ยต่อเดือน </w:t>
            </w:r>
            <w:r w:rsidRPr="001E4987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x </w:t>
            </w:r>
            <w:r w:rsidRPr="001E4987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วงเงินที่อนุมัติในครั้งนี้</w:t>
            </w:r>
            <w:r w:rsidRPr="005E7406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9A3553" w:rsidRPr="00A94B6A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9A3553" w:rsidRPr="00A94B6A" w:rsidRDefault="009A3553" w:rsidP="00B36E61">
            <w:pPr>
              <w:pStyle w:val="Title"/>
              <w:spacing w:before="120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9A3553" w:rsidRDefault="009A3553" w:rsidP="00CF00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12-14</w:t>
            </w:r>
          </w:p>
        </w:tc>
        <w:tc>
          <w:tcPr>
            <w:tcW w:w="1305" w:type="dxa"/>
          </w:tcPr>
          <w:p w:rsidR="009A3553" w:rsidRDefault="009A3553" w:rsidP="00B36E6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MGL</w:t>
            </w:r>
          </w:p>
        </w:tc>
        <w:tc>
          <w:tcPr>
            <w:tcW w:w="2126" w:type="dxa"/>
          </w:tcPr>
          <w:p w:rsidR="009A3553" w:rsidRPr="00EF0BF7" w:rsidRDefault="009A3553" w:rsidP="007E50E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E4987">
              <w:rPr>
                <w:b w:val="0"/>
                <w:bCs w:val="0"/>
                <w:sz w:val="20"/>
                <w:szCs w:val="20"/>
                <w:u w:val="none"/>
              </w:rPr>
              <w:t>Other Debt Burden (Baht)</w:t>
            </w:r>
          </w:p>
        </w:tc>
        <w:tc>
          <w:tcPr>
            <w:tcW w:w="9815" w:type="dxa"/>
          </w:tcPr>
          <w:p w:rsidR="009A3553" w:rsidRPr="00FE668A" w:rsidRDefault="009A3553" w:rsidP="00B36E61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FE668A">
              <w:rPr>
                <w:sz w:val="20"/>
                <w:szCs w:val="20"/>
                <w:cs/>
              </w:rPr>
              <w:t>คำอธิบาย</w:t>
            </w:r>
          </w:p>
          <w:p w:rsidR="009A3553" w:rsidRPr="00FE668A" w:rsidRDefault="009A3553" w:rsidP="001E4987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E668A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</w:p>
          <w:p w:rsidR="009A3553" w:rsidRPr="00FE668A" w:rsidRDefault="009A3553" w:rsidP="001E4987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E668A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FE668A">
              <w:rPr>
                <w:b w:val="0"/>
                <w:bCs w:val="0"/>
                <w:sz w:val="20"/>
                <w:szCs w:val="20"/>
                <w:u w:val="none"/>
                <w:cs/>
              </w:rPr>
              <w:t>ภาระหนี้อื่นต่อเดือน นอกเหนือจากภาระหนี้ต่อเดือนที่ต้องผ่อนชำระในการขอกู้ครั้งนี้ ได้แก่ เงินต้นและดอกเบี้ยที่ผู้ขอกู้ (ผู้กู้หลัก+ผู้กู้ร่วม) ต้องผ่อนชำระกับสถาบันการเงินและธุรกิจทางการเงินอื่นที่ไม่ใช่สถาบันการเงิน ที่มีอยู่ ณ เวลาที่</w:t>
            </w:r>
            <w:r w:rsidRPr="00FE668A">
              <w:rPr>
                <w:b w:val="0"/>
                <w:bCs w:val="0"/>
                <w:sz w:val="20"/>
                <w:szCs w:val="20"/>
                <w:u w:val="none"/>
                <w:cs/>
              </w:rPr>
              <w:lastRenderedPageBreak/>
              <w:t>สถาบันการเงินประเมินโดยไม่รวมสัญญาที่รายงาน เช่น ธุรกิจบัตรเครดิต ธุรกิจสินเชื่อส่วนบุคคลภายใต้การกำกับ สินเชื่อสวัสดิการนายจ้าง สินเชื่อการค้า เป็นต้น ซึ่งเป็นข้อมูลที่สถาบันการเงินประเมินขึ้นจากข้อมูลทั้งหมดของผู้ขอกู้เท่าที่สถาบันการเงินที่รายงานจะหาได้ (หน่วย: บาท)</w:t>
            </w:r>
          </w:p>
          <w:p w:rsidR="009A3553" w:rsidRPr="00FE668A" w:rsidRDefault="009A3553" w:rsidP="001E4987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FE668A">
              <w:rPr>
                <w:sz w:val="20"/>
                <w:szCs w:val="20"/>
                <w:cs/>
              </w:rPr>
              <w:t>แนวทางในการคำนวณ เบื้องต้นสำหรับหนี้แต่ละประเภท</w:t>
            </w:r>
          </w:p>
          <w:p w:rsidR="009A3553" w:rsidRPr="00FE668A" w:rsidRDefault="009A3553" w:rsidP="001E4987">
            <w:pPr>
              <w:pStyle w:val="Title"/>
              <w:numPr>
                <w:ilvl w:val="0"/>
                <w:numId w:val="26"/>
              </w:numPr>
              <w:spacing w:line="360" w:lineRule="auto"/>
              <w:ind w:left="518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E668A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หนี้ประเภทที่มีค่างวดชัดเจน เช่น สินเชื่อเพื่อที่อยู่อาศัย สินเชื่อเช่าซื้อ และอื่น ๆ </w:t>
            </w:r>
          </w:p>
          <w:p w:rsidR="009A3553" w:rsidRPr="00FE668A" w:rsidRDefault="009A3553" w:rsidP="001E4987">
            <w:pPr>
              <w:pStyle w:val="Title"/>
              <w:numPr>
                <w:ilvl w:val="0"/>
                <w:numId w:val="27"/>
              </w:numPr>
              <w:spacing w:line="360" w:lineRule="auto"/>
              <w:ind w:left="1051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E668A">
              <w:rPr>
                <w:b w:val="0"/>
                <w:bCs w:val="0"/>
                <w:sz w:val="20"/>
                <w:szCs w:val="20"/>
                <w:u w:val="none"/>
                <w:cs/>
              </w:rPr>
              <w:t>รวมค่างวดทั้งหมดที่ผู้ขอกู้ต้องผ่อนชำระต่อเดือน (รวมเงินต้นและดอกเบี้ย) ตามที่สถาบันการเงินประเมิน ณ เวลาที่รายงาน</w:t>
            </w:r>
          </w:p>
          <w:p w:rsidR="009A3553" w:rsidRPr="00FE668A" w:rsidRDefault="009A3553" w:rsidP="001E4987">
            <w:pPr>
              <w:pStyle w:val="Title"/>
              <w:numPr>
                <w:ilvl w:val="0"/>
                <w:numId w:val="26"/>
              </w:numPr>
              <w:spacing w:line="360" w:lineRule="auto"/>
              <w:ind w:left="518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E668A">
              <w:rPr>
                <w:b w:val="0"/>
                <w:bCs w:val="0"/>
                <w:sz w:val="20"/>
                <w:szCs w:val="20"/>
                <w:u w:val="none"/>
                <w:cs/>
              </w:rPr>
              <w:t>หนี้ประเภทหมุนเวียน เช่น สินเชื่อบัตรเครดิต สินเชื่อส่วนบุคคลภายใต้การกำกับ หรือ เงินเบิกเกินบัญชี เป็นต้น</w:t>
            </w:r>
          </w:p>
          <w:p w:rsidR="009A3553" w:rsidRPr="00FE668A" w:rsidRDefault="009A3553" w:rsidP="001E4987">
            <w:pPr>
              <w:pStyle w:val="Title"/>
              <w:numPr>
                <w:ilvl w:val="0"/>
                <w:numId w:val="27"/>
              </w:numPr>
              <w:spacing w:line="360" w:lineRule="auto"/>
              <w:ind w:left="1051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E668A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ใช้ดอกเบี้ยที่ต้องชำระ รวมกับ เงินต้นขั้นต่ำ (ถ้ามี) เพื่อการคำนวณภาระการชำระคืนซึ่งสามารถคำนวณโดย อ้างอิงอัตราการผ่อนชำระเงินต้นขั้นต่ำ สำหรับสินเชื่อบัตรเครดิต และสินเชื่อส่วนบุคคลภายใต้การกำกับ ที่ร้อยละ </w:t>
            </w:r>
            <w:r w:rsidRPr="00FE668A">
              <w:rPr>
                <w:b w:val="0"/>
                <w:bCs w:val="0"/>
                <w:sz w:val="20"/>
                <w:szCs w:val="20"/>
                <w:u w:val="none"/>
              </w:rPr>
              <w:t>10</w:t>
            </w:r>
            <w:r w:rsidRPr="00FE668A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และ </w:t>
            </w:r>
            <w:r w:rsidRPr="00FE668A">
              <w:rPr>
                <w:b w:val="0"/>
                <w:bCs w:val="0"/>
                <w:sz w:val="20"/>
                <w:szCs w:val="20"/>
                <w:u w:val="none"/>
              </w:rPr>
              <w:t>5</w:t>
            </w:r>
            <w:r w:rsidRPr="00FE668A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ตามลำดับ จากจำนวนยอดคงค้างเฉลี่ยย้อนหลัง </w:t>
            </w:r>
            <w:r w:rsidRPr="00FE668A">
              <w:rPr>
                <w:b w:val="0"/>
                <w:bCs w:val="0"/>
                <w:sz w:val="20"/>
                <w:szCs w:val="20"/>
                <w:u w:val="none"/>
              </w:rPr>
              <w:t>6</w:t>
            </w:r>
            <w:r w:rsidRPr="00FE668A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เดือน</w:t>
            </w:r>
            <w:r w:rsidRPr="00FE668A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:rsidR="009A3553" w:rsidRPr="00FE668A" w:rsidRDefault="009A3553" w:rsidP="00FE668A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E668A">
              <w:rPr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</w:p>
          <w:p w:rsidR="009A3553" w:rsidRPr="00FE668A" w:rsidRDefault="009A3553" w:rsidP="00FE668A">
            <w:pPr>
              <w:spacing w:line="360" w:lineRule="auto"/>
              <w:rPr>
                <w:rFonts w:ascii="Tahoma" w:hAnsi="Tahoma"/>
                <w:color w:val="FF0000"/>
                <w:sz w:val="20"/>
              </w:rPr>
            </w:pPr>
            <w:r w:rsidRPr="00FE668A">
              <w:rPr>
                <w:rFonts w:ascii="Tahoma" w:hAnsi="Tahoma"/>
                <w:b/>
                <w:bCs/>
                <w:sz w:val="20"/>
              </w:rPr>
              <w:t>“</w:t>
            </w:r>
            <w:r w:rsidRPr="00FE668A">
              <w:rPr>
                <w:rFonts w:ascii="Tahoma" w:hAnsi="Tahoma"/>
                <w:color w:val="FF0000"/>
                <w:sz w:val="20"/>
                <w:cs/>
              </w:rPr>
              <w:t>ภาระหนี้ที่ลูกค้าต้องผ่อนชำระต่อเดือนที่มีอยู่เดิมก่อนการขอสินเชื่อในครั้งนี้ (หน่วย: บาท)</w:t>
            </w:r>
            <w:r>
              <w:rPr>
                <w:rFonts w:ascii="Tahoma" w:hAnsi="Tahoma" w:hint="cs"/>
                <w:color w:val="FF0000"/>
                <w:sz w:val="20"/>
                <w:cs/>
              </w:rPr>
              <w:t xml:space="preserve"> </w:t>
            </w:r>
            <w:r w:rsidRPr="00FE668A">
              <w:rPr>
                <w:rFonts w:ascii="Tahoma" w:hAnsi="Tahoma"/>
                <w:color w:val="FF0000"/>
                <w:sz w:val="20"/>
                <w:cs/>
              </w:rPr>
              <w:t xml:space="preserve">โดยรวมสินเชื่อทุกประเภท (สินเชื่อเพื่อการอุปโภคบริโภค และสินเชื่อเพื่อการประกอบธุรกิจ / อาชีพ) จากสถาบันการเงินและผู้ให้บริการสินเชื่ออื่นทุกประเภท (เช่น ผู้ประกอบธุรกิจบัตรเครดิต ผู้ประกอบธุรกิจสินเชื่อส่วนบุคคลภายใต้การกำกับ สหกรณ์ออมทรัพย์) โดยอ้างอิงข้อมูลจาก </w:t>
            </w:r>
            <w:r w:rsidRPr="00FE668A">
              <w:rPr>
                <w:rFonts w:ascii="Tahoma" w:hAnsi="Tahoma"/>
                <w:color w:val="FF0000"/>
                <w:sz w:val="20"/>
              </w:rPr>
              <w:t xml:space="preserve">NCB </w:t>
            </w:r>
            <w:r w:rsidRPr="00FE668A">
              <w:rPr>
                <w:rFonts w:ascii="Tahoma" w:hAnsi="Tahoma"/>
                <w:color w:val="FF0000"/>
                <w:sz w:val="20"/>
                <w:cs/>
              </w:rPr>
              <w:t xml:space="preserve">และพิจารณาใช้ข้อมูลจากแหล่งอื่นประกอบตามหลักการ </w:t>
            </w:r>
            <w:r w:rsidRPr="00FE668A">
              <w:rPr>
                <w:rFonts w:ascii="Tahoma" w:hAnsi="Tahoma"/>
                <w:color w:val="FF0000"/>
                <w:sz w:val="20"/>
              </w:rPr>
              <w:t xml:space="preserve">Best effort </w:t>
            </w:r>
            <w:r w:rsidRPr="00FE668A">
              <w:rPr>
                <w:rFonts w:ascii="Tahoma" w:hAnsi="Tahoma"/>
                <w:color w:val="FF0000"/>
                <w:sz w:val="20"/>
                <w:cs/>
              </w:rPr>
              <w:t xml:space="preserve">เช่น จาก </w:t>
            </w:r>
            <w:r w:rsidRPr="00FE668A">
              <w:rPr>
                <w:rFonts w:ascii="Tahoma" w:hAnsi="Tahoma"/>
                <w:color w:val="FF0000"/>
                <w:sz w:val="20"/>
              </w:rPr>
              <w:t xml:space="preserve">slip </w:t>
            </w:r>
            <w:r w:rsidRPr="00FE668A">
              <w:rPr>
                <w:rFonts w:ascii="Tahoma" w:hAnsi="Tahoma"/>
                <w:color w:val="FF0000"/>
                <w:sz w:val="20"/>
                <w:cs/>
              </w:rPr>
              <w:t xml:space="preserve">เงินเดือน จากการสอบถามลูกค้าเพิ่มเติม จากการประมาณการที่สมเหตุสมผล เป็นต้น </w:t>
            </w:r>
          </w:p>
          <w:p w:rsidR="009A3553" w:rsidRPr="00FE668A" w:rsidRDefault="009A3553" w:rsidP="00FE668A">
            <w:pPr>
              <w:spacing w:line="360" w:lineRule="auto"/>
              <w:rPr>
                <w:rFonts w:ascii="Tahoma" w:hAnsi="Tahoma"/>
                <w:color w:val="FF0000"/>
                <w:sz w:val="20"/>
              </w:rPr>
            </w:pPr>
            <w:r w:rsidRPr="00FE668A">
              <w:rPr>
                <w:rFonts w:ascii="Tahoma" w:hAnsi="Tahoma"/>
                <w:color w:val="FF0000"/>
                <w:sz w:val="20"/>
                <w:cs/>
              </w:rPr>
              <w:t>ทั้งนี้ ไม่รวมภาระหนี้ที่มีอายุสินเชื่อคงเหลือน้อยกว่า 3 เดือน และในการคำนวณภาระหนี้กรณีการกู้ร่วม ให้ใช้ภาระหนี้หารด้วยจำนวนผู้กู้ร่วม</w:t>
            </w:r>
            <w:r w:rsidRPr="00FE668A">
              <w:rPr>
                <w:rFonts w:ascii="Tahoma" w:hAnsi="Tahoma"/>
                <w:color w:val="FF0000"/>
                <w:sz w:val="20"/>
              </w:rPr>
              <w:t xml:space="preserve"> </w:t>
            </w:r>
          </w:p>
          <w:p w:rsidR="009A3553" w:rsidRPr="00FE668A" w:rsidRDefault="009A3553" w:rsidP="00FE668A">
            <w:pPr>
              <w:spacing w:line="360" w:lineRule="auto"/>
              <w:rPr>
                <w:rFonts w:ascii="Tahoma" w:hAnsi="Tahoma"/>
                <w:b/>
                <w:bCs/>
                <w:color w:val="FF0000"/>
                <w:sz w:val="20"/>
              </w:rPr>
            </w:pPr>
            <w:r w:rsidRPr="00FE668A">
              <w:rPr>
                <w:rFonts w:ascii="Tahoma" w:hAnsi="Tahoma"/>
                <w:b/>
                <w:bCs/>
                <w:color w:val="FF0000"/>
                <w:sz w:val="20"/>
                <w:u w:val="single"/>
                <w:cs/>
              </w:rPr>
              <w:t>แนวทางในการคำนวณสำหรับหนี้แต่ละประเภท</w:t>
            </w:r>
          </w:p>
          <w:p w:rsidR="009A3553" w:rsidRPr="00FE668A" w:rsidRDefault="009A3553" w:rsidP="00FE668A">
            <w:pPr>
              <w:pStyle w:val="ListParagraph"/>
              <w:numPr>
                <w:ilvl w:val="0"/>
                <w:numId w:val="28"/>
              </w:numPr>
              <w:spacing w:line="360" w:lineRule="auto"/>
              <w:ind w:left="518" w:hanging="446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  <w:r w:rsidRPr="00FE668A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cs/>
              </w:rPr>
              <w:t>สินเชื่ออุปโภคบริโภค</w:t>
            </w:r>
          </w:p>
          <w:p w:rsidR="009A3553" w:rsidRPr="00FE668A" w:rsidRDefault="009A3553" w:rsidP="00FE668A">
            <w:pPr>
              <w:pStyle w:val="ListParagraph"/>
              <w:numPr>
                <w:ilvl w:val="1"/>
                <w:numId w:val="29"/>
              </w:numPr>
              <w:spacing w:line="360" w:lineRule="auto"/>
              <w:ind w:left="1048" w:hanging="45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E668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lastRenderedPageBreak/>
              <w:t xml:space="preserve"> หนี้ประเภทที่มีค่างวดชัดเจน (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</w:rPr>
              <w:t xml:space="preserve">Non-revolving) 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ได้แก่ สินเชื่อ</w:t>
            </w:r>
          </w:p>
          <w:p w:rsidR="009A3553" w:rsidRPr="00FE668A" w:rsidRDefault="009A3553" w:rsidP="00FE668A">
            <w:pPr>
              <w:spacing w:line="360" w:lineRule="auto"/>
              <w:ind w:left="598"/>
              <w:rPr>
                <w:rFonts w:ascii="Tahoma" w:hAnsi="Tahoma"/>
                <w:color w:val="FF0000"/>
                <w:sz w:val="20"/>
              </w:rPr>
            </w:pPr>
            <w:r w:rsidRPr="00FE668A">
              <w:rPr>
                <w:rFonts w:ascii="Tahoma" w:hAnsi="Tahoma"/>
                <w:color w:val="FF0000"/>
                <w:sz w:val="20"/>
                <w:cs/>
              </w:rPr>
              <w:t xml:space="preserve">บ้าน สินเชื่อรถยนต์ โดยให้ใช้ภาระหนี้ที่ต้องชำระต่อเดือนงวดล่าสุด </w:t>
            </w:r>
          </w:p>
          <w:p w:rsidR="009A3553" w:rsidRPr="00FE668A" w:rsidRDefault="009A3553" w:rsidP="00FE668A">
            <w:pPr>
              <w:pStyle w:val="ListParagraph"/>
              <w:spacing w:line="360" w:lineRule="auto"/>
              <w:ind w:left="590"/>
              <w:rPr>
                <w:rFonts w:ascii="Tahoma" w:hAnsi="Tahoma" w:cs="Tahoma"/>
                <w:color w:val="FF0000"/>
                <w:sz w:val="20"/>
                <w:szCs w:val="20"/>
                <w:cs/>
              </w:rPr>
            </w:pPr>
            <w:r w:rsidRPr="00FE668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(1.2) 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  <w:cs/>
                <w:lang w:val="th-TH"/>
              </w:rPr>
              <w:t>หนี้ประเภทหมุนเวียน (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</w:rPr>
              <w:t xml:space="preserve">Revolving) 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ได้แก่ สินเชื่อบัตรเครดิต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  <w:r w:rsidRPr="0073570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สินเชื่อส่วนบุคคลที่อยู่ภายใต้การกำกับ และที่ไม่ได้อยู่ภายใต้การกำกับ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และ สินเชื่อ 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</w:rPr>
              <w:t xml:space="preserve">O/D 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ที่มิใช่เพื่อประกอบธุรกิจ</w:t>
            </w:r>
          </w:p>
          <w:p w:rsidR="009A3553" w:rsidRPr="00FE668A" w:rsidRDefault="009A3553" w:rsidP="00FE668A">
            <w:pPr>
              <w:pStyle w:val="ListParagraph"/>
              <w:spacing w:line="360" w:lineRule="auto"/>
              <w:ind w:left="59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E668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(1.2.1) บัตรเครดิต ให้ใช้ 10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</w:rPr>
              <w:t xml:space="preserve">% x 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ยอดคงค้างงวดล่าสุด เว้นแต่พิสูจน์ได้ว่า</w:t>
            </w:r>
            <w:r w:rsidRPr="00A55CA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มีการชำระยอดใช้จ่ายบัตรเครดิตเต็มจำนวนอย่างสม่ำเสมอ (</w:t>
            </w:r>
            <w:proofErr w:type="spellStart"/>
            <w:r w:rsidRPr="00A55CA7">
              <w:rPr>
                <w:rFonts w:ascii="Tahoma" w:hAnsi="Tahoma" w:cs="Tahoma"/>
                <w:color w:val="FF0000"/>
                <w:sz w:val="20"/>
                <w:szCs w:val="20"/>
              </w:rPr>
              <w:t>Transactor</w:t>
            </w:r>
            <w:proofErr w:type="spellEnd"/>
            <w:r w:rsidRPr="00A55CA7">
              <w:rPr>
                <w:rFonts w:ascii="Tahoma" w:hAnsi="Tahoma" w:cs="Tahoma"/>
                <w:color w:val="FF0000"/>
                <w:sz w:val="20"/>
                <w:szCs w:val="20"/>
              </w:rPr>
              <w:t>)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</w:p>
          <w:p w:rsidR="009A3553" w:rsidRPr="00FE668A" w:rsidRDefault="009A3553" w:rsidP="00FE668A">
            <w:pPr>
              <w:pStyle w:val="ListParagraph"/>
              <w:spacing w:line="360" w:lineRule="auto"/>
              <w:ind w:left="59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E668A">
              <w:rPr>
                <w:rFonts w:ascii="Tahoma" w:hAnsi="Tahoma" w:cs="Tahoma"/>
                <w:color w:val="FF0000"/>
                <w:sz w:val="20"/>
                <w:szCs w:val="20"/>
              </w:rPr>
              <w:t xml:space="preserve">(1.2.2) </w:t>
            </w:r>
            <w:r w:rsidRPr="0073570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สินเชื่อส่วนบุคคลที่อยู่ภายใต้การกำกับ และที่ไม่ได้อยู่ภายใต้การกำกับ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ให้ใช้ 5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</w:rPr>
              <w:t xml:space="preserve">% x 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ยอดคงค้างงวดล่าสุด</w:t>
            </w:r>
          </w:p>
          <w:p w:rsidR="009A3553" w:rsidRPr="00FE668A" w:rsidRDefault="009A3553" w:rsidP="00FE668A">
            <w:pPr>
              <w:pStyle w:val="ListParagraph"/>
              <w:spacing w:line="360" w:lineRule="auto"/>
              <w:ind w:left="590"/>
              <w:rPr>
                <w:rFonts w:ascii="Tahoma" w:hAnsi="Tahoma" w:cs="Tahoma"/>
                <w:color w:val="FF0000"/>
                <w:sz w:val="20"/>
                <w:szCs w:val="20"/>
                <w:cs/>
              </w:rPr>
            </w:pPr>
            <w:r w:rsidRPr="00FE668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(1.2.3) 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</w:rPr>
              <w:t xml:space="preserve">O/D 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ที่มิใช่เพื่อประกอบธุรกิจ ให้ใช้ อัตราดอกเบี้ยต่อเดือน 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</w:rPr>
              <w:t xml:space="preserve">x 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ยอดคงค้างงวดล่าสุด</w:t>
            </w:r>
          </w:p>
          <w:p w:rsidR="009A3553" w:rsidRPr="00FE668A" w:rsidRDefault="009A3553" w:rsidP="00FE668A">
            <w:pPr>
              <w:pStyle w:val="ListParagraph"/>
              <w:numPr>
                <w:ilvl w:val="0"/>
                <w:numId w:val="28"/>
              </w:numPr>
              <w:spacing w:line="360" w:lineRule="auto"/>
              <w:ind w:left="590" w:hanging="446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  <w:r w:rsidRPr="00FE668A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cs/>
              </w:rPr>
              <w:t>สินเชื่อเพื่อประกอบธุรกิจ</w:t>
            </w:r>
            <w:r w:rsidRPr="00FE668A"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  <w:t xml:space="preserve"> </w:t>
            </w:r>
          </w:p>
          <w:p w:rsidR="009A3553" w:rsidRPr="00FE668A" w:rsidRDefault="009A3553" w:rsidP="00FE668A">
            <w:pPr>
              <w:pStyle w:val="ListParagraph"/>
              <w:spacing w:line="360" w:lineRule="auto"/>
              <w:ind w:left="590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  <w:r w:rsidRPr="00FE668A">
              <w:rPr>
                <w:rFonts w:ascii="Tahoma" w:hAnsi="Tahoma" w:cs="Tahoma"/>
                <w:color w:val="FF0000"/>
                <w:sz w:val="20"/>
                <w:szCs w:val="20"/>
              </w:rPr>
              <w:t xml:space="preserve">(2.1) 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หนี้ประเภทที่มีค่างวดชัดเจน (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</w:rPr>
              <w:t>Non-revolving)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ให้ใช้วิธีใดวิธีหนึ่งดังต่อไปนี้</w:t>
            </w:r>
          </w:p>
          <w:p w:rsidR="009A3553" w:rsidRPr="00FE668A" w:rsidRDefault="009A3553" w:rsidP="00FE668A">
            <w:pPr>
              <w:pStyle w:val="ListParagraph"/>
              <w:spacing w:line="360" w:lineRule="auto"/>
              <w:ind w:left="59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E668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(2.1.1) ภาระหนี้ที่ต้องชำระต่อเดือนงวดล่าสุด </w:t>
            </w:r>
          </w:p>
          <w:p w:rsidR="009A3553" w:rsidRPr="00FE668A" w:rsidRDefault="009A3553" w:rsidP="00FE668A">
            <w:pPr>
              <w:pStyle w:val="ListParagraph"/>
              <w:spacing w:line="360" w:lineRule="auto"/>
              <w:ind w:left="59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E668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(2.1.2) ประมาณการภาระหนี้ที่คาดว่าลูกค้าผ่อนชำระต่อเดือนด้วยวิธีการคิดลดหามูลค่าปัจจุบัน (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</w:rPr>
              <w:t>PMT)</w:t>
            </w:r>
          </w:p>
          <w:p w:rsidR="009A3553" w:rsidRPr="00FE668A" w:rsidRDefault="009A3553" w:rsidP="00FE668A">
            <w:pPr>
              <w:pStyle w:val="ListParagraph"/>
              <w:spacing w:line="360" w:lineRule="auto"/>
              <w:ind w:left="590"/>
              <w:rPr>
                <w:rFonts w:ascii="Tahoma" w:hAnsi="Tahoma" w:cs="Tahoma"/>
                <w:color w:val="FF0000"/>
                <w:sz w:val="20"/>
                <w:szCs w:val="20"/>
                <w:cs/>
              </w:rPr>
            </w:pPr>
            <w:r w:rsidRPr="00FE668A">
              <w:rPr>
                <w:rFonts w:ascii="Tahoma" w:hAnsi="Tahoma" w:cs="Tahoma"/>
                <w:color w:val="FF0000"/>
                <w:sz w:val="20"/>
                <w:szCs w:val="20"/>
              </w:rPr>
              <w:t xml:space="preserve">(2.1.3) 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ผสมระหว่างวิธี (2.1.1) และ (2.1.2) </w:t>
            </w:r>
          </w:p>
          <w:p w:rsidR="009A3553" w:rsidRPr="00FE668A" w:rsidRDefault="009A3553" w:rsidP="00FE668A">
            <w:pPr>
              <w:pStyle w:val="ListParagraph"/>
              <w:spacing w:line="360" w:lineRule="auto"/>
              <w:ind w:left="59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E668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(2.2) 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  <w:cs/>
                <w:lang w:val="th-TH"/>
              </w:rPr>
              <w:t>หนี้ประเภทหมุนเวียน (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</w:rPr>
              <w:t xml:space="preserve">Revolving) 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ให้ประมาณการภาระหนี้ที่คาดว่าลูกค้าผ่อนชำระต่อเดือนด้วยวิธีใดวิธีหนึ่ง ดังต่อไปนี้</w:t>
            </w:r>
          </w:p>
          <w:p w:rsidR="009A3553" w:rsidRPr="00FE668A" w:rsidRDefault="009A3553" w:rsidP="00FE668A">
            <w:pPr>
              <w:pStyle w:val="ListParagraph"/>
              <w:spacing w:line="360" w:lineRule="auto"/>
              <w:ind w:left="590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  <w:r w:rsidRPr="00FE668A">
              <w:rPr>
                <w:rFonts w:ascii="Tahoma" w:hAnsi="Tahoma" w:cs="Tahoma"/>
                <w:color w:val="FF0000"/>
                <w:sz w:val="20"/>
                <w:szCs w:val="20"/>
              </w:rPr>
              <w:t xml:space="preserve">(2.2.1) </w:t>
            </w:r>
          </w:p>
          <w:p w:rsidR="009A3553" w:rsidRPr="00FE668A" w:rsidRDefault="009A3553" w:rsidP="00FE668A">
            <w:pPr>
              <w:pStyle w:val="ListParagraph"/>
              <w:spacing w:line="360" w:lineRule="auto"/>
              <w:ind w:left="590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  <w:r w:rsidRPr="00FE668A">
              <w:rPr>
                <w:rFonts w:ascii="Tahoma" w:hAnsi="Tahoma" w:cs="Tahoma"/>
                <w:b/>
                <w:bCs/>
                <w:noProof/>
                <w:color w:val="FF0000"/>
                <w:sz w:val="20"/>
                <w:szCs w:val="20"/>
              </w:rPr>
              <w:drawing>
                <wp:anchor distT="0" distB="0" distL="114300" distR="114300" simplePos="0" relativeHeight="251664384" behindDoc="0" locked="0" layoutInCell="1" allowOverlap="1" wp14:anchorId="1A798FA8" wp14:editId="4488D8E7">
                  <wp:simplePos x="0" y="0"/>
                  <wp:positionH relativeFrom="column">
                    <wp:posOffset>561975</wp:posOffset>
                  </wp:positionH>
                  <wp:positionV relativeFrom="paragraph">
                    <wp:posOffset>29210</wp:posOffset>
                  </wp:positionV>
                  <wp:extent cx="1370330" cy="812165"/>
                  <wp:effectExtent l="0" t="0" r="1270" b="0"/>
                  <wp:wrapNone/>
                  <wp:docPr id="15" name="ta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able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0330" cy="812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E668A">
              <w:rPr>
                <w:rFonts w:ascii="Tahoma" w:hAnsi="Tahoma" w:cs="Tahoma"/>
                <w:b/>
                <w:bCs/>
                <w:noProof/>
                <w:color w:val="FF0000"/>
                <w:sz w:val="20"/>
                <w:szCs w:val="20"/>
              </w:rPr>
              <w:drawing>
                <wp:anchor distT="0" distB="0" distL="114300" distR="114300" simplePos="0" relativeHeight="251665408" behindDoc="0" locked="0" layoutInCell="1" allowOverlap="1" wp14:anchorId="50F5EA96" wp14:editId="05356013">
                  <wp:simplePos x="0" y="0"/>
                  <wp:positionH relativeFrom="column">
                    <wp:posOffset>2491740</wp:posOffset>
                  </wp:positionH>
                  <wp:positionV relativeFrom="paragraph">
                    <wp:posOffset>30480</wp:posOffset>
                  </wp:positionV>
                  <wp:extent cx="1517650" cy="796925"/>
                  <wp:effectExtent l="0" t="0" r="6350" b="0"/>
                  <wp:wrapNone/>
                  <wp:docPr id="16" name="ta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table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650" cy="796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A3553" w:rsidRPr="00FE668A" w:rsidRDefault="009A3553" w:rsidP="00FE668A">
            <w:pPr>
              <w:pStyle w:val="ListParagraph"/>
              <w:spacing w:line="360" w:lineRule="auto"/>
              <w:ind w:left="590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  <w:r w:rsidRPr="00FE668A">
              <w:rPr>
                <w:rFonts w:ascii="Tahoma" w:hAnsi="Tahoma" w:cs="Tahoma"/>
                <w:b/>
                <w:bCs/>
                <w:noProof/>
                <w:color w:val="FF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B37BBC" wp14:editId="5F9EDC66">
                      <wp:simplePos x="0" y="0"/>
                      <wp:positionH relativeFrom="column">
                        <wp:posOffset>2117090</wp:posOffset>
                      </wp:positionH>
                      <wp:positionV relativeFrom="paragraph">
                        <wp:posOffset>56515</wp:posOffset>
                      </wp:positionV>
                      <wp:extent cx="216535" cy="210820"/>
                      <wp:effectExtent l="0" t="0" r="0" b="0"/>
                      <wp:wrapNone/>
                      <wp:docPr id="14" name="Multiply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535" cy="210820"/>
                              </a:xfrm>
                              <a:prstGeom prst="mathMultiply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5C9DAF" id="Multiply 13" o:spid="_x0000_s1026" style="position:absolute;margin-left:166.7pt;margin-top:4.45pt;width:17.05pt;height:16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535,210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" path="m34711,68397l69301,32870r38967,37938l147234,32870r34590,35527l143808,105410r38016,37013l147234,177950,108268,140012,69301,177950,34711,142423,72727,105410,34711,68397xe" fillcolor="red" strokecolor="#bf8f00 [2407]" strokeweight="1pt">
                      <v:stroke joinstyle="miter"/>
                      <v:path arrowok="t" o:connecttype="custom" o:connectlocs="34711,68397;69301,32870;108268,70808;147234,32870;181824,68397;143808,105410;181824,142423;147234,177950;108268,140012;69301,177950;34711,142423;72727,105410;34711,68397" o:connectangles="0,0,0,0,0,0,0,0,0,0,0,0,0"/>
                    </v:shape>
                  </w:pict>
                </mc:Fallback>
              </mc:AlternateContent>
            </w:r>
          </w:p>
          <w:p w:rsidR="009A3553" w:rsidRPr="00FE668A" w:rsidRDefault="009A3553" w:rsidP="00FE668A">
            <w:pPr>
              <w:pStyle w:val="ListParagraph"/>
              <w:spacing w:line="360" w:lineRule="auto"/>
              <w:ind w:left="590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  <w:p w:rsidR="009A3553" w:rsidRPr="00FE668A" w:rsidRDefault="009A3553" w:rsidP="00FE668A">
            <w:pPr>
              <w:pStyle w:val="ListParagraph"/>
              <w:spacing w:line="360" w:lineRule="auto"/>
              <w:ind w:left="590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  <w:p w:rsidR="009A3553" w:rsidRPr="00FE668A" w:rsidRDefault="009A3553" w:rsidP="00FE668A">
            <w:pPr>
              <w:pStyle w:val="Title"/>
              <w:spacing w:line="360" w:lineRule="auto"/>
              <w:ind w:left="602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E668A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(2.2.2) </w:t>
            </w:r>
            <w:r w:rsidRPr="00FE668A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ประมาณการภาระหนี้ที่คาดว่าลูกค้าผ่อนชำระต่อเดือนด้วยวิธีการคิดลดหามูลค่าปัจจุบัน (</w:t>
            </w:r>
            <w:r w:rsidRPr="00FE668A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PMT)</w:t>
            </w:r>
            <w:r w:rsidRPr="00FE668A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9A3553" w:rsidRPr="00A94B6A" w:rsidTr="006B4670">
        <w:trPr>
          <w:trHeight w:val="433"/>
        </w:trPr>
        <w:tc>
          <w:tcPr>
            <w:tcW w:w="1075" w:type="dxa"/>
            <w:vMerge w:val="restart"/>
            <w:shd w:val="clear" w:color="auto" w:fill="auto"/>
          </w:tcPr>
          <w:p w:rsidR="009A3553" w:rsidRPr="00A94B6A" w:rsidRDefault="009A3553" w:rsidP="00DC2563">
            <w:pPr>
              <w:pStyle w:val="Title"/>
              <w:spacing w:before="120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9A3553" w:rsidRDefault="009A3553" w:rsidP="005F7C3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15</w:t>
            </w:r>
          </w:p>
        </w:tc>
        <w:tc>
          <w:tcPr>
            <w:tcW w:w="1305" w:type="dxa"/>
          </w:tcPr>
          <w:p w:rsidR="009A3553" w:rsidRDefault="009A3553" w:rsidP="00DC256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MGL</w:t>
            </w:r>
          </w:p>
        </w:tc>
        <w:tc>
          <w:tcPr>
            <w:tcW w:w="2126" w:type="dxa"/>
          </w:tcPr>
          <w:p w:rsidR="009A3553" w:rsidRPr="001E4987" w:rsidRDefault="009A3553" w:rsidP="00DC256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DC2563">
              <w:rPr>
                <w:b w:val="0"/>
                <w:bCs w:val="0"/>
                <w:sz w:val="20"/>
                <w:szCs w:val="20"/>
                <w:u w:val="none"/>
              </w:rPr>
              <w:t>Order of Housing Loan Contracts</w:t>
            </w:r>
          </w:p>
        </w:tc>
        <w:tc>
          <w:tcPr>
            <w:tcW w:w="9815" w:type="dxa"/>
          </w:tcPr>
          <w:p w:rsidR="009A3553" w:rsidRPr="00FE668A" w:rsidRDefault="009A3553" w:rsidP="00DC2563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FE668A">
              <w:rPr>
                <w:sz w:val="20"/>
                <w:szCs w:val="20"/>
                <w:cs/>
              </w:rPr>
              <w:t>คำอธิบาย</w:t>
            </w:r>
          </w:p>
          <w:p w:rsidR="009A3553" w:rsidRPr="00FE668A" w:rsidRDefault="009A3553" w:rsidP="00DC256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E668A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</w:p>
          <w:p w:rsidR="009A3553" w:rsidRDefault="009A3553" w:rsidP="00DC256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DC2563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DC2563">
              <w:rPr>
                <w:b w:val="0"/>
                <w:bCs w:val="0"/>
                <w:sz w:val="20"/>
                <w:szCs w:val="20"/>
                <w:u w:val="none"/>
                <w:cs/>
              </w:rPr>
              <w:t>ลำดับที่ของสัญญาเงินให้สินเชื่อที่มีที่อยู่อาศัยเป็นหลักประกันที่ผู้กู้ หรือผู้กู้ร่วม ซื้อและอยู่ระหว่างผ่อนชำระ โดยนับจำนวนสัญญาเงินกู้สินเชื่อเพื่อที่อยู่อาศัยระหว่างผ่อนชำระ รวมสัญญาที่กำลังยื่นเพื่อซื้อที่อยู่อาศัยอีกหลัง</w:t>
            </w:r>
            <w:r w:rsidRPr="00DC2563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:rsidR="009A3553" w:rsidRDefault="009A3553" w:rsidP="00DC256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</w:p>
          <w:p w:rsidR="009A3553" w:rsidRPr="00DC2563" w:rsidRDefault="009A3553" w:rsidP="00CF00D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CF00D5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ลำดับที่ของสัญญาเงินให้สินเชื่อเพื่อที่อยู่อาศัยที่ผู้กู้ หรือผู้กู้ร่วม ซื้อและอยู่ระหว่างผ่อนชำระ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9A3553" w:rsidRPr="00A94B6A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9A3553" w:rsidRPr="00A94B6A" w:rsidRDefault="009A3553" w:rsidP="00DC2563">
            <w:pPr>
              <w:pStyle w:val="Title"/>
              <w:spacing w:before="120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9A3553" w:rsidRDefault="009A3553" w:rsidP="005F7C3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16-17</w:t>
            </w:r>
          </w:p>
        </w:tc>
        <w:tc>
          <w:tcPr>
            <w:tcW w:w="1305" w:type="dxa"/>
          </w:tcPr>
          <w:p w:rsidR="009A3553" w:rsidRDefault="009A3553" w:rsidP="00DC256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MGL</w:t>
            </w:r>
          </w:p>
        </w:tc>
        <w:tc>
          <w:tcPr>
            <w:tcW w:w="2126" w:type="dxa"/>
          </w:tcPr>
          <w:p w:rsidR="009A3553" w:rsidRPr="00DC2563" w:rsidRDefault="009A3553" w:rsidP="00DC256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B42469">
              <w:rPr>
                <w:b w:val="0"/>
                <w:bCs w:val="0"/>
                <w:sz w:val="20"/>
                <w:szCs w:val="20"/>
                <w:u w:val="none"/>
              </w:rPr>
              <w:t>LTV Ratio</w:t>
            </w:r>
          </w:p>
        </w:tc>
        <w:tc>
          <w:tcPr>
            <w:tcW w:w="9815" w:type="dxa"/>
          </w:tcPr>
          <w:p w:rsidR="009A3553" w:rsidRDefault="009A3553" w:rsidP="00DC2563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cs/>
              </w:rPr>
              <w:t>คำอธิบาย</w:t>
            </w:r>
          </w:p>
          <w:p w:rsidR="009A3553" w:rsidRPr="0026098A" w:rsidRDefault="009A3553" w:rsidP="00B4246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26098A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</w:p>
          <w:p w:rsidR="009A3553" w:rsidRPr="00B42469" w:rsidRDefault="009A3553" w:rsidP="00B4246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“1. </w:t>
            </w:r>
            <w:r w:rsidRPr="00B42469">
              <w:rPr>
                <w:rFonts w:ascii="Tahoma" w:hAnsi="Tahoma"/>
                <w:sz w:val="20"/>
                <w:cs/>
              </w:rPr>
              <w:t xml:space="preserve">กรณีที่หลักประกันของเงินให้สินเชื่อสัญญาเดิม ได้นำไปใช้เป็นหลักประกันเพื่อขอสินเชื่อ </w:t>
            </w:r>
            <w:r w:rsidRPr="00B42469">
              <w:rPr>
                <w:rFonts w:ascii="Tahoma" w:hAnsi="Tahoma"/>
                <w:sz w:val="20"/>
              </w:rPr>
              <w:t xml:space="preserve">Top up </w:t>
            </w:r>
            <w:r w:rsidRPr="00B42469">
              <w:rPr>
                <w:rFonts w:ascii="Tahoma" w:hAnsi="Tahoma"/>
                <w:sz w:val="20"/>
                <w:cs/>
              </w:rPr>
              <w:t xml:space="preserve">ใหม่เพิ่มเติม  จะต้องทำการคำนวณ </w:t>
            </w:r>
            <w:r w:rsidRPr="00B42469">
              <w:rPr>
                <w:rFonts w:ascii="Tahoma" w:hAnsi="Tahoma"/>
                <w:sz w:val="20"/>
              </w:rPr>
              <w:t xml:space="preserve">LTV Ratio </w:t>
            </w:r>
            <w:r w:rsidRPr="00B42469">
              <w:rPr>
                <w:rFonts w:ascii="Tahoma" w:hAnsi="Tahoma"/>
                <w:sz w:val="20"/>
                <w:cs/>
              </w:rPr>
              <w:t xml:space="preserve">ใหม่ โดยยึดจากหลักประกันเป็นหลัก กล่าวคือ หากหลักประกันถูกอ้างอิงเพื่อคำนวณ </w:t>
            </w:r>
            <w:r w:rsidRPr="00B42469">
              <w:rPr>
                <w:rFonts w:ascii="Tahoma" w:hAnsi="Tahoma"/>
                <w:sz w:val="20"/>
              </w:rPr>
              <w:t xml:space="preserve">LTV ratio </w:t>
            </w:r>
            <w:r w:rsidRPr="00B42469">
              <w:rPr>
                <w:rFonts w:ascii="Tahoma" w:hAnsi="Tahoma"/>
                <w:sz w:val="20"/>
                <w:cs/>
              </w:rPr>
              <w:t xml:space="preserve">ในสัญญาสินเชื่อ </w:t>
            </w:r>
            <w:r w:rsidRPr="00B42469">
              <w:rPr>
                <w:rFonts w:ascii="Tahoma" w:hAnsi="Tahoma"/>
                <w:sz w:val="20"/>
              </w:rPr>
              <w:t xml:space="preserve">Top-up </w:t>
            </w:r>
            <w:r w:rsidRPr="00B42469">
              <w:rPr>
                <w:rFonts w:ascii="Tahoma" w:hAnsi="Tahoma"/>
                <w:sz w:val="20"/>
                <w:cs/>
              </w:rPr>
              <w:t xml:space="preserve">ใหม่เพิ่มเติม การรายงานยอดคงค้างของสัญญาสินเชื่อเพื่อที่อยู่อาศัยเดิมจะต้องรายงานตามค่า </w:t>
            </w:r>
            <w:r w:rsidRPr="00B42469">
              <w:rPr>
                <w:rFonts w:ascii="Tahoma" w:hAnsi="Tahoma"/>
                <w:sz w:val="20"/>
              </w:rPr>
              <w:t xml:space="preserve">LTV ratio </w:t>
            </w:r>
            <w:r w:rsidRPr="00B42469">
              <w:rPr>
                <w:rFonts w:ascii="Tahoma" w:hAnsi="Tahoma"/>
                <w:sz w:val="20"/>
                <w:cs/>
              </w:rPr>
              <w:t>ล่าสุดที่ใช้เพื่อประกอบการอนุมัติสินเชื่อ (</w:t>
            </w:r>
            <w:r w:rsidRPr="00B42469">
              <w:rPr>
                <w:rFonts w:ascii="Tahoma" w:hAnsi="Tahoma"/>
                <w:sz w:val="20"/>
              </w:rPr>
              <w:t xml:space="preserve">LTV ratio at latest approval) </w:t>
            </w:r>
            <w:r w:rsidRPr="00B42469">
              <w:rPr>
                <w:rFonts w:ascii="Tahoma" w:hAnsi="Tahoma"/>
                <w:sz w:val="20"/>
                <w:cs/>
              </w:rPr>
              <w:t xml:space="preserve">ที่คำนวณจากยอดสินเชื่อที่อยู่อาศัย รวมกับยอดสินเชื่อ </w:t>
            </w:r>
            <w:r w:rsidRPr="00B42469">
              <w:rPr>
                <w:rFonts w:ascii="Tahoma" w:hAnsi="Tahoma"/>
                <w:sz w:val="20"/>
              </w:rPr>
              <w:t xml:space="preserve">Top up </w:t>
            </w:r>
            <w:r w:rsidRPr="00B42469">
              <w:rPr>
                <w:rFonts w:ascii="Tahoma" w:hAnsi="Tahoma"/>
                <w:sz w:val="20"/>
                <w:cs/>
              </w:rPr>
              <w:t xml:space="preserve">ไม่รวมสินเชื่อสำหรับชำระค่าเบี้ยประกันวินาศภัย สินเชื่อสาหรับชำระค่าเบี้ยประกันชีวิตแบบ </w:t>
            </w:r>
            <w:r w:rsidRPr="00B42469">
              <w:rPr>
                <w:rFonts w:ascii="Tahoma" w:hAnsi="Tahoma"/>
                <w:sz w:val="20"/>
              </w:rPr>
              <w:t xml:space="preserve">Mortgage Reducing Term Assurance (MRTA) </w:t>
            </w:r>
            <w:r w:rsidRPr="00B42469">
              <w:rPr>
                <w:rFonts w:ascii="Tahoma" w:hAnsi="Tahoma"/>
                <w:sz w:val="20"/>
                <w:cs/>
              </w:rPr>
              <w:t>และสินเชื่อที่มีวัตถุประสงค์เพื่อใช้ในการประกอบธุรกิจ หารด้วยมูลค่าหลักประกัน</w:t>
            </w:r>
            <w:r w:rsidRPr="00B42469">
              <w:rPr>
                <w:rFonts w:ascii="Tahoma" w:hAnsi="Tahoma"/>
                <w:sz w:val="20"/>
              </w:rPr>
              <w:t>”</w:t>
            </w:r>
          </w:p>
          <w:p w:rsidR="009A3553" w:rsidRDefault="009A3553" w:rsidP="00B4246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</w:p>
          <w:p w:rsidR="009A3553" w:rsidRPr="0026098A" w:rsidRDefault="009A3553" w:rsidP="0026098A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26098A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1. </w:t>
            </w:r>
            <w:r w:rsidRPr="0026098A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กรณีที่หลักประกันของเงินให้สินเชื่อสัญญาเดิม ได้นำไปใช้เป็นหลักประกันเพื่อขอสินเชื่อ </w:t>
            </w:r>
            <w:r w:rsidRPr="0026098A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Top up </w:t>
            </w:r>
            <w:r w:rsidRPr="0026098A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ใหม่เพิ่มเติม  จะต้องทำการคำนวณ </w:t>
            </w:r>
            <w:r w:rsidRPr="0026098A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LTV Ratio </w:t>
            </w:r>
            <w:r w:rsidRPr="0026098A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ใหม่ โดยยึดจากหลักประกันเป็นหลัก กล่าวคือ หากหลักประกันถูกอ้างอิงเพื่อคำนวณ </w:t>
            </w:r>
            <w:r w:rsidRPr="0026098A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LTV ratio </w:t>
            </w:r>
            <w:r w:rsidRPr="0026098A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ในสัญญาสินเชื่อ </w:t>
            </w:r>
            <w:r w:rsidRPr="0026098A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Top-up </w:t>
            </w:r>
            <w:r w:rsidRPr="0026098A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ใหม่เพิ่มเติม การรายงานยอดคงค้างของสัญญาสินเชื่อเพื่อที่อยู่อาศัยเดิมจะต้องรายงานตามค่า </w:t>
            </w:r>
            <w:r w:rsidRPr="0026098A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LTV ratio </w:t>
            </w:r>
            <w:r w:rsidRPr="0026098A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ล่าสุดที่ใช้เพื่อประกอบการอนุมัติสินเชื่อ (</w:t>
            </w:r>
            <w:r w:rsidRPr="0026098A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LTV ratio at latest approval) </w:t>
            </w:r>
            <w:r w:rsidRPr="0026098A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ที่คำนวณจากยอดสินเชื่อที่อยู่อาศัย รวมกับยอดสินเชื่อ </w:t>
            </w:r>
            <w:r w:rsidRPr="0026098A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Top up </w:t>
            </w:r>
            <w:r w:rsidRPr="0026098A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ไม่รวมสินเชื่อสำหรับชำระค่าเบี้ยประกันวินาศภัย สินเชื่อสาหรับชำระค่าเบี้ย</w:t>
            </w:r>
            <w:r w:rsidRPr="0026098A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lastRenderedPageBreak/>
              <w:t xml:space="preserve">ประกันชีวิตแบบ </w:t>
            </w:r>
            <w:r w:rsidRPr="0026098A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Mortgage Reducing Term Assurance (MRTA) </w:t>
            </w:r>
            <w:r w:rsidRPr="0026098A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สินเชื่อสำหรับชำระค่าเบี้ยประกันแบบ </w:t>
            </w:r>
            <w:r w:rsidRPr="0026098A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Mortgage Level Term Assurance (MLTA) </w:t>
            </w:r>
            <w:r w:rsidRPr="0026098A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สินเชื่อที่มีวัตถุประสงค์เพื่อใช้ในการประกอบธุรกิจ เฉพาะกรณีที่สถาบันการเงิน สามารถแยกสินเชื่อดังกล่าวออกจากสินเชื่อเพื่อที่อยู่อาศัยได้อย่างชัดเจน โดยต้องมีกระบวนการพิจารณาสินเชื่อและการบริหารความเสี่ยงเช่นเดียวกับสินเชื่อเพื่อใช้ในการประกอบธุรกิจโดยทั่วไป หารด้วยมูลค่าหลักประกัน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</w:tbl>
    <w:p w:rsidR="006C3EDB" w:rsidRPr="00321D56" w:rsidRDefault="006C3EDB" w:rsidP="0002473C">
      <w:pPr>
        <w:pStyle w:val="Title"/>
        <w:spacing w:line="360" w:lineRule="auto"/>
        <w:jc w:val="left"/>
        <w:rPr>
          <w:rFonts w:ascii="TH SarabunPSK" w:hAnsi="TH SarabunPSK" w:cs="TH SarabunPSK"/>
        </w:rPr>
      </w:pPr>
    </w:p>
    <w:sectPr w:rsidR="006C3EDB" w:rsidRPr="00321D56" w:rsidSect="00FD63B4">
      <w:headerReference w:type="default" r:id="rId14"/>
      <w:footerReference w:type="default" r:id="rId15"/>
      <w:pgSz w:w="16834" w:h="11909" w:orient="landscape" w:code="9"/>
      <w:pgMar w:top="1627" w:right="646" w:bottom="1438" w:left="748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30A" w:rsidRDefault="0025330A">
      <w:r>
        <w:separator/>
      </w:r>
    </w:p>
  </w:endnote>
  <w:endnote w:type="continuationSeparator" w:id="0">
    <w:p w:rsidR="0025330A" w:rsidRDefault="00253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Pr="00321D56" w:rsidRDefault="00532E56" w:rsidP="00321D56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6578901" wp14:editId="472FDB9B">
              <wp:simplePos x="0" y="0"/>
              <wp:positionH relativeFrom="column">
                <wp:posOffset>35383</wp:posOffset>
              </wp:positionH>
              <wp:positionV relativeFrom="paragraph">
                <wp:posOffset>-122496</wp:posOffset>
              </wp:positionV>
              <wp:extent cx="9728790" cy="0"/>
              <wp:effectExtent l="0" t="0" r="2540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44FAA0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pt,-9.65pt" to="768.85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8N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"/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BEFF9AF" wp14:editId="104A662D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496570" cy="516255"/>
              <wp:effectExtent l="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570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Default="004E357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296BCEC" wp14:editId="0BDA605C">
                                <wp:extent cx="310515" cy="422910"/>
                                <wp:effectExtent l="0" t="0" r="0" b="0"/>
                                <wp:docPr id="8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10515" cy="4229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FF9A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3.5pt;width:39.1pt;height:40.6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" stroked="f">
              <v:textbox style="mso-fit-shape-to-text:t">
                <w:txbxContent>
                  <w:p w:rsidR="004566F3" w:rsidRDefault="004E357A">
                    <w:r>
                      <w:rPr>
                        <w:noProof/>
                      </w:rPr>
                      <w:drawing>
                        <wp:inline distT="0" distB="0" distL="0" distR="0" wp14:anchorId="2296BCEC" wp14:editId="0BDA605C">
                          <wp:extent cx="310515" cy="422910"/>
                          <wp:effectExtent l="0" t="0" r="0" b="0"/>
                          <wp:docPr id="8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10515" cy="4229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13E7749" wp14:editId="2472E212">
              <wp:simplePos x="0" y="0"/>
              <wp:positionH relativeFrom="column">
                <wp:posOffset>448945</wp:posOffset>
              </wp:positionH>
              <wp:positionV relativeFrom="paragraph">
                <wp:posOffset>81915</wp:posOffset>
              </wp:positionV>
              <wp:extent cx="2213610" cy="478790"/>
              <wp:effectExtent l="1270" t="0" r="4445" b="127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Pr="000C3119" w:rsidRDefault="004566F3" w:rsidP="00321D56">
                          <w:pPr>
                            <w:spacing w:after="120" w:line="240" w:lineRule="exact"/>
                            <w:rPr>
                              <w:rFonts w:ascii="Tahoma" w:hAnsi="Tahoma"/>
                              <w:b/>
                              <w:bCs/>
                              <w:sz w:val="20"/>
                            </w:rPr>
                          </w:pPr>
                          <w:r w:rsidRPr="000C3119">
                            <w:rPr>
                              <w:rFonts w:ascii="Tahoma" w:hAnsi="Tahoma"/>
                              <w:b/>
                              <w:bCs/>
                              <w:sz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4566F3" w:rsidRPr="000C3119" w:rsidRDefault="004566F3" w:rsidP="00321D56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0C311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3E7749" id="Text Box 7" o:spid="_x0000_s1027" type="#_x0000_t202" style="position:absolute;margin-left:35.35pt;margin-top:6.4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wBLuQ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" filled="f" stroked="f">
              <v:textbox>
                <w:txbxContent>
                  <w:p w:rsidR="004566F3" w:rsidRPr="000C3119" w:rsidRDefault="004566F3" w:rsidP="00321D56">
                    <w:pPr>
                      <w:spacing w:after="120" w:line="240" w:lineRule="exact"/>
                      <w:rPr>
                        <w:rFonts w:ascii="Tahoma" w:hAnsi="Tahoma"/>
                        <w:b/>
                        <w:bCs/>
                        <w:sz w:val="20"/>
                      </w:rPr>
                    </w:pPr>
                    <w:r w:rsidRPr="000C3119">
                      <w:rPr>
                        <w:rFonts w:ascii="Tahoma" w:hAnsi="Tahoma"/>
                        <w:b/>
                        <w:bCs/>
                        <w:sz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4566F3" w:rsidRPr="000C3119" w:rsidRDefault="004566F3" w:rsidP="00321D56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0C311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4566F3">
      <w:rPr>
        <w:rFonts w:ascii="Tahoma" w:hAnsi="Tahoma"/>
        <w:b/>
        <w:bCs/>
        <w:sz w:val="20"/>
      </w:rPr>
      <w:t xml:space="preserve">              </w:t>
    </w:r>
  </w:p>
  <w:p w:rsidR="004566F3" w:rsidRPr="000C3119" w:rsidRDefault="004566F3" w:rsidP="000C3119">
    <w:pPr>
      <w:pStyle w:val="Footer"/>
      <w:tabs>
        <w:tab w:val="clear" w:pos="4153"/>
        <w:tab w:val="clear" w:pos="8306"/>
        <w:tab w:val="center" w:pos="6946"/>
        <w:tab w:val="right" w:pos="6972"/>
      </w:tabs>
      <w:ind w:right="251"/>
      <w:jc w:val="right"/>
      <w:rPr>
        <w:rFonts w:ascii="Tahoma" w:hAnsi="Tahoma"/>
        <w:b/>
        <w:bCs/>
        <w:sz w:val="20"/>
      </w:rPr>
    </w:pPr>
    <w:r>
      <w:rPr>
        <w:rFonts w:hint="cs"/>
        <w:cs/>
        <w:lang w:val="en-GB"/>
      </w:rPr>
      <w:t xml:space="preserve">                                                                  </w:t>
    </w:r>
    <w:r>
      <w:rPr>
        <w:lang w:val="en-GB"/>
      </w:rPr>
      <w:t xml:space="preserve">    </w:t>
    </w:r>
    <w:r>
      <w:rPr>
        <w:rStyle w:val="PageNumber"/>
        <w:rFonts w:ascii="Tahoma" w:hAnsi="Tahoma"/>
        <w:b/>
        <w:bCs/>
        <w:sz w:val="22"/>
        <w:szCs w:val="22"/>
      </w:rPr>
      <w:tab/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PAGE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D24AE0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6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 w:rsidRPr="00A94B6A">
      <w:rPr>
        <w:rStyle w:val="PageNumber"/>
        <w:rFonts w:ascii="Tahoma" w:hAnsi="Tahoma" w:hint="cs"/>
        <w:b/>
        <w:bCs/>
        <w:sz w:val="16"/>
        <w:szCs w:val="16"/>
        <w:cs/>
        <w:lang w:val="en-GB"/>
      </w:rPr>
      <w:t>/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NUMPAGES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D24AE0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6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</w:t>
    </w:r>
    <w:r w:rsidRPr="00A94B6A">
      <w:rPr>
        <w:rFonts w:ascii="Tahoma" w:hAnsi="Tahoma"/>
        <w:sz w:val="20"/>
        <w:cs/>
        <w:lang w:val="en-GB"/>
      </w:rPr>
      <w:t xml:space="preserve">                </w:t>
    </w:r>
    <w:r w:rsidR="00A94B6A">
      <w:rPr>
        <w:rFonts w:ascii="Tahoma" w:hAnsi="Tahoma"/>
        <w:sz w:val="20"/>
      </w:rPr>
      <w:t xml:space="preserve">              </w:t>
    </w:r>
    <w:r w:rsidR="00EF0BF7">
      <w:rPr>
        <w:rFonts w:ascii="Tahoma" w:hAnsi="Tahoma"/>
        <w:sz w:val="20"/>
      </w:rPr>
      <w:t>MGL</w:t>
    </w:r>
    <w:r w:rsidR="00A94B6A">
      <w:rPr>
        <w:rFonts w:ascii="Tahoma" w:hAnsi="Tahoma"/>
        <w:sz w:val="20"/>
      </w:rPr>
      <w:t xml:space="preserve"> </w:t>
    </w:r>
    <w:r w:rsidRPr="00A94B6A">
      <w:rPr>
        <w:rFonts w:ascii="Tahoma" w:hAnsi="Tahoma"/>
        <w:sz w:val="20"/>
      </w:rPr>
      <w:t>Data Se</w:t>
    </w:r>
    <w:r w:rsidR="00F55733">
      <w:rPr>
        <w:rFonts w:ascii="Tahoma" w:hAnsi="Tahoma"/>
        <w:sz w:val="20"/>
      </w:rPr>
      <w:t>t Manual : Summary of Changes Version</w:t>
    </w:r>
    <w:r w:rsidRPr="00A94B6A">
      <w:rPr>
        <w:rFonts w:ascii="Tahoma" w:hAnsi="Tahoma"/>
        <w:sz w:val="20"/>
      </w:rPr>
      <w:t xml:space="preserve"> </w:t>
    </w:r>
    <w:r w:rsidR="0034273C" w:rsidRPr="00A94B6A">
      <w:rPr>
        <w:rFonts w:ascii="Tahoma" w:hAnsi="Tahoma"/>
        <w:sz w:val="20"/>
      </w:rPr>
      <w:t>1.</w:t>
    </w:r>
    <w:r w:rsidR="00302414">
      <w:rPr>
        <w:rFonts w:ascii="Tahoma" w:hAnsi="Tahoma"/>
        <w:sz w:val="2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30A" w:rsidRDefault="0025330A">
      <w:r>
        <w:separator/>
      </w:r>
    </w:p>
  </w:footnote>
  <w:footnote w:type="continuationSeparator" w:id="0">
    <w:p w:rsidR="0025330A" w:rsidRDefault="002533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Default="00AB41B2">
    <w:pPr>
      <w:pStyle w:val="Header"/>
      <w:rPr>
        <w:rFonts w:ascii="Tahoma" w:hAnsi="Tahoma"/>
        <w:b/>
        <w:bCs/>
        <w:sz w:val="20"/>
      </w:rPr>
    </w:pPr>
    <w:r>
      <w:rPr>
        <w:noProof/>
      </w:rPr>
      <w:drawing>
        <wp:anchor distT="0" distB="0" distL="114300" distR="114300" simplePos="0" relativeHeight="251663872" behindDoc="0" locked="0" layoutInCell="1" allowOverlap="1" wp14:anchorId="1E34B94E" wp14:editId="67B5A818">
          <wp:simplePos x="0" y="0"/>
          <wp:positionH relativeFrom="column">
            <wp:posOffset>63796</wp:posOffset>
          </wp:positionH>
          <wp:positionV relativeFrom="paragraph">
            <wp:posOffset>-202285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0195">
      <w:rPr>
        <w:noProof/>
      </w:rPr>
      <w:drawing>
        <wp:anchor distT="0" distB="0" distL="114300" distR="114300" simplePos="0" relativeHeight="251657728" behindDoc="0" locked="0" layoutInCell="1" allowOverlap="1" wp14:anchorId="6A65633C" wp14:editId="4E9CD335">
          <wp:simplePos x="0" y="0"/>
          <wp:positionH relativeFrom="margin">
            <wp:posOffset>6695913</wp:posOffset>
          </wp:positionH>
          <wp:positionV relativeFrom="margin">
            <wp:posOffset>-751840</wp:posOffset>
          </wp:positionV>
          <wp:extent cx="3018155" cy="480695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2E56">
      <w:rPr>
        <w:noProof/>
        <w:sz w:val="2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15F6CFF" wp14:editId="74E55D2F">
              <wp:simplePos x="0" y="0"/>
              <wp:positionH relativeFrom="margin">
                <wp:posOffset>50800</wp:posOffset>
              </wp:positionH>
              <wp:positionV relativeFrom="paragraph">
                <wp:posOffset>402752</wp:posOffset>
              </wp:positionV>
              <wp:extent cx="9728790" cy="0"/>
              <wp:effectExtent l="0" t="0" r="2540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DC0CB9" id="Line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pt,31.7pt" to="770.0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Bq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82F34"/>
    <w:multiLevelType w:val="hybridMultilevel"/>
    <w:tmpl w:val="CB5E8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4C73C6"/>
    <w:multiLevelType w:val="multilevel"/>
    <w:tmpl w:val="A90E054C"/>
    <w:lvl w:ilvl="0">
      <w:start w:val="1"/>
      <w:numFmt w:val="decimal"/>
      <w:lvlText w:val="(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131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190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285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800" w:hanging="144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439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593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6880" w:hanging="2160"/>
      </w:pPr>
      <w:rPr>
        <w:rFonts w:hint="default"/>
      </w:rPr>
    </w:lvl>
  </w:abstractNum>
  <w:abstractNum w:abstractNumId="3" w15:restartNumberingAfterBreak="0">
    <w:nsid w:val="02355B43"/>
    <w:multiLevelType w:val="hybridMultilevel"/>
    <w:tmpl w:val="AE4C0F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5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E80AD3"/>
    <w:multiLevelType w:val="hybridMultilevel"/>
    <w:tmpl w:val="F20695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8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2" w15:restartNumberingAfterBreak="0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3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BFD5C5D"/>
    <w:multiLevelType w:val="hybridMultilevel"/>
    <w:tmpl w:val="D4F08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20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5" w15:restartNumberingAfterBreak="0">
    <w:nsid w:val="664B1C4B"/>
    <w:multiLevelType w:val="hybridMultilevel"/>
    <w:tmpl w:val="ABF2071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7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2"/>
  </w:num>
  <w:num w:numId="3">
    <w:abstractNumId w:val="8"/>
  </w:num>
  <w:num w:numId="4">
    <w:abstractNumId w:val="21"/>
  </w:num>
  <w:num w:numId="5">
    <w:abstractNumId w:val="26"/>
  </w:num>
  <w:num w:numId="6">
    <w:abstractNumId w:val="11"/>
  </w:num>
  <w:num w:numId="7">
    <w:abstractNumId w:val="7"/>
  </w:num>
  <w:num w:numId="8">
    <w:abstractNumId w:val="1"/>
  </w:num>
  <w:num w:numId="9">
    <w:abstractNumId w:val="23"/>
  </w:num>
  <w:num w:numId="10">
    <w:abstractNumId w:val="9"/>
  </w:num>
  <w:num w:numId="11">
    <w:abstractNumId w:val="22"/>
  </w:num>
  <w:num w:numId="12">
    <w:abstractNumId w:val="20"/>
  </w:num>
  <w:num w:numId="13">
    <w:abstractNumId w:val="4"/>
  </w:num>
  <w:num w:numId="14">
    <w:abstractNumId w:val="19"/>
  </w:num>
  <w:num w:numId="15">
    <w:abstractNumId w:val="13"/>
  </w:num>
  <w:num w:numId="16">
    <w:abstractNumId w:val="17"/>
  </w:num>
  <w:num w:numId="17">
    <w:abstractNumId w:val="16"/>
  </w:num>
  <w:num w:numId="18">
    <w:abstractNumId w:val="10"/>
  </w:num>
  <w:num w:numId="19">
    <w:abstractNumId w:val="29"/>
  </w:num>
  <w:num w:numId="20">
    <w:abstractNumId w:val="5"/>
  </w:num>
  <w:num w:numId="21">
    <w:abstractNumId w:val="15"/>
  </w:num>
  <w:num w:numId="22">
    <w:abstractNumId w:val="27"/>
  </w:num>
  <w:num w:numId="23">
    <w:abstractNumId w:val="14"/>
  </w:num>
  <w:num w:numId="24">
    <w:abstractNumId w:val="28"/>
  </w:num>
  <w:num w:numId="25">
    <w:abstractNumId w:val="3"/>
  </w:num>
  <w:num w:numId="26">
    <w:abstractNumId w:val="18"/>
  </w:num>
  <w:num w:numId="27">
    <w:abstractNumId w:val="6"/>
  </w:num>
  <w:num w:numId="28">
    <w:abstractNumId w:val="25"/>
  </w:num>
  <w:num w:numId="29">
    <w:abstractNumId w:val="2"/>
  </w:num>
  <w:num w:numId="30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A73"/>
    <w:rsid w:val="00001F8F"/>
    <w:rsid w:val="00002824"/>
    <w:rsid w:val="00002E60"/>
    <w:rsid w:val="00004942"/>
    <w:rsid w:val="0000570C"/>
    <w:rsid w:val="00005EB2"/>
    <w:rsid w:val="00011757"/>
    <w:rsid w:val="0001304D"/>
    <w:rsid w:val="00015DFF"/>
    <w:rsid w:val="00020B1F"/>
    <w:rsid w:val="00020DA4"/>
    <w:rsid w:val="00022A0A"/>
    <w:rsid w:val="0002473C"/>
    <w:rsid w:val="0002627E"/>
    <w:rsid w:val="00031251"/>
    <w:rsid w:val="000313E6"/>
    <w:rsid w:val="00031C4B"/>
    <w:rsid w:val="0003296F"/>
    <w:rsid w:val="000364B8"/>
    <w:rsid w:val="00037CAB"/>
    <w:rsid w:val="000405DD"/>
    <w:rsid w:val="000411A0"/>
    <w:rsid w:val="00042B13"/>
    <w:rsid w:val="00046208"/>
    <w:rsid w:val="00052569"/>
    <w:rsid w:val="000541BF"/>
    <w:rsid w:val="00062B7E"/>
    <w:rsid w:val="00066FF5"/>
    <w:rsid w:val="000751E1"/>
    <w:rsid w:val="0007758E"/>
    <w:rsid w:val="000829EF"/>
    <w:rsid w:val="0008372A"/>
    <w:rsid w:val="0008775E"/>
    <w:rsid w:val="00091674"/>
    <w:rsid w:val="000940E0"/>
    <w:rsid w:val="000A1F71"/>
    <w:rsid w:val="000A2D53"/>
    <w:rsid w:val="000A4F4E"/>
    <w:rsid w:val="000A7633"/>
    <w:rsid w:val="000A76FC"/>
    <w:rsid w:val="000C28FE"/>
    <w:rsid w:val="000C3119"/>
    <w:rsid w:val="000C4656"/>
    <w:rsid w:val="000C53B2"/>
    <w:rsid w:val="000C579D"/>
    <w:rsid w:val="000C59A2"/>
    <w:rsid w:val="000C6A16"/>
    <w:rsid w:val="000C6F69"/>
    <w:rsid w:val="000C749A"/>
    <w:rsid w:val="000D4760"/>
    <w:rsid w:val="000D5A5B"/>
    <w:rsid w:val="000D614B"/>
    <w:rsid w:val="000E05E2"/>
    <w:rsid w:val="000E0EC4"/>
    <w:rsid w:val="000F08B4"/>
    <w:rsid w:val="000F4072"/>
    <w:rsid w:val="000F6992"/>
    <w:rsid w:val="0010041F"/>
    <w:rsid w:val="00100469"/>
    <w:rsid w:val="0010182D"/>
    <w:rsid w:val="00102CDD"/>
    <w:rsid w:val="00105F67"/>
    <w:rsid w:val="001173F1"/>
    <w:rsid w:val="001175CE"/>
    <w:rsid w:val="00120880"/>
    <w:rsid w:val="001227BB"/>
    <w:rsid w:val="001277EA"/>
    <w:rsid w:val="00134D48"/>
    <w:rsid w:val="0013596D"/>
    <w:rsid w:val="00145DA5"/>
    <w:rsid w:val="00146046"/>
    <w:rsid w:val="0014697C"/>
    <w:rsid w:val="00147B05"/>
    <w:rsid w:val="0015271F"/>
    <w:rsid w:val="00153B1D"/>
    <w:rsid w:val="00153B25"/>
    <w:rsid w:val="0015675B"/>
    <w:rsid w:val="001569E1"/>
    <w:rsid w:val="00157E22"/>
    <w:rsid w:val="00157FD3"/>
    <w:rsid w:val="00161E55"/>
    <w:rsid w:val="00162D1D"/>
    <w:rsid w:val="00166DDD"/>
    <w:rsid w:val="00167145"/>
    <w:rsid w:val="001705B8"/>
    <w:rsid w:val="00172070"/>
    <w:rsid w:val="00172A84"/>
    <w:rsid w:val="0017335B"/>
    <w:rsid w:val="0017719F"/>
    <w:rsid w:val="001777C2"/>
    <w:rsid w:val="00177941"/>
    <w:rsid w:val="001812AD"/>
    <w:rsid w:val="00184680"/>
    <w:rsid w:val="00186D1D"/>
    <w:rsid w:val="00187586"/>
    <w:rsid w:val="00194E19"/>
    <w:rsid w:val="001959AC"/>
    <w:rsid w:val="001A51E3"/>
    <w:rsid w:val="001A7BFD"/>
    <w:rsid w:val="001A7F92"/>
    <w:rsid w:val="001B22F2"/>
    <w:rsid w:val="001B4179"/>
    <w:rsid w:val="001B64EA"/>
    <w:rsid w:val="001B7375"/>
    <w:rsid w:val="001C1A87"/>
    <w:rsid w:val="001C667B"/>
    <w:rsid w:val="001D6C06"/>
    <w:rsid w:val="001E1918"/>
    <w:rsid w:val="001E1C3A"/>
    <w:rsid w:val="001E2AE9"/>
    <w:rsid w:val="001E2C54"/>
    <w:rsid w:val="001E4987"/>
    <w:rsid w:val="001E5FE1"/>
    <w:rsid w:val="001E69C4"/>
    <w:rsid w:val="001F6655"/>
    <w:rsid w:val="001F68F4"/>
    <w:rsid w:val="00201282"/>
    <w:rsid w:val="00202E02"/>
    <w:rsid w:val="00205C2E"/>
    <w:rsid w:val="00205C44"/>
    <w:rsid w:val="00207DDD"/>
    <w:rsid w:val="00207E65"/>
    <w:rsid w:val="00210016"/>
    <w:rsid w:val="00210B6A"/>
    <w:rsid w:val="0021151A"/>
    <w:rsid w:val="00212F74"/>
    <w:rsid w:val="00213434"/>
    <w:rsid w:val="0022281B"/>
    <w:rsid w:val="002253C6"/>
    <w:rsid w:val="0022685C"/>
    <w:rsid w:val="002318BC"/>
    <w:rsid w:val="0023352A"/>
    <w:rsid w:val="00234698"/>
    <w:rsid w:val="00236965"/>
    <w:rsid w:val="00242932"/>
    <w:rsid w:val="00242EB9"/>
    <w:rsid w:val="002523AF"/>
    <w:rsid w:val="0025330A"/>
    <w:rsid w:val="00253DD7"/>
    <w:rsid w:val="00256F69"/>
    <w:rsid w:val="00257B6D"/>
    <w:rsid w:val="0026098A"/>
    <w:rsid w:val="00262974"/>
    <w:rsid w:val="00263828"/>
    <w:rsid w:val="0026673E"/>
    <w:rsid w:val="00271179"/>
    <w:rsid w:val="002725A7"/>
    <w:rsid w:val="00274161"/>
    <w:rsid w:val="002749C8"/>
    <w:rsid w:val="00275837"/>
    <w:rsid w:val="00275CF2"/>
    <w:rsid w:val="00276B21"/>
    <w:rsid w:val="002807AF"/>
    <w:rsid w:val="0028328C"/>
    <w:rsid w:val="00283D13"/>
    <w:rsid w:val="0028565C"/>
    <w:rsid w:val="00290D9C"/>
    <w:rsid w:val="00290DF2"/>
    <w:rsid w:val="00292E4E"/>
    <w:rsid w:val="00295607"/>
    <w:rsid w:val="00296311"/>
    <w:rsid w:val="00297B66"/>
    <w:rsid w:val="002A1C44"/>
    <w:rsid w:val="002A3DBC"/>
    <w:rsid w:val="002A47EE"/>
    <w:rsid w:val="002A5E61"/>
    <w:rsid w:val="002B2365"/>
    <w:rsid w:val="002B3142"/>
    <w:rsid w:val="002B6D4E"/>
    <w:rsid w:val="002C0283"/>
    <w:rsid w:val="002C181B"/>
    <w:rsid w:val="002C5328"/>
    <w:rsid w:val="002D02F1"/>
    <w:rsid w:val="002D1FE3"/>
    <w:rsid w:val="002D499F"/>
    <w:rsid w:val="002D5BCD"/>
    <w:rsid w:val="002E4BB2"/>
    <w:rsid w:val="002E6059"/>
    <w:rsid w:val="002F469A"/>
    <w:rsid w:val="002F6D4E"/>
    <w:rsid w:val="00302414"/>
    <w:rsid w:val="003024C9"/>
    <w:rsid w:val="00302C83"/>
    <w:rsid w:val="0030520B"/>
    <w:rsid w:val="0030744C"/>
    <w:rsid w:val="00311A39"/>
    <w:rsid w:val="00321D56"/>
    <w:rsid w:val="003224AB"/>
    <w:rsid w:val="003255F6"/>
    <w:rsid w:val="003275AF"/>
    <w:rsid w:val="003326AA"/>
    <w:rsid w:val="00332F74"/>
    <w:rsid w:val="00335752"/>
    <w:rsid w:val="0034273C"/>
    <w:rsid w:val="00342A2C"/>
    <w:rsid w:val="00347C93"/>
    <w:rsid w:val="00350E70"/>
    <w:rsid w:val="00351D4B"/>
    <w:rsid w:val="00352A4D"/>
    <w:rsid w:val="0035658D"/>
    <w:rsid w:val="003571EF"/>
    <w:rsid w:val="003623D1"/>
    <w:rsid w:val="00362799"/>
    <w:rsid w:val="00364C91"/>
    <w:rsid w:val="00365EEA"/>
    <w:rsid w:val="003679C8"/>
    <w:rsid w:val="00370EFB"/>
    <w:rsid w:val="0037196D"/>
    <w:rsid w:val="00374736"/>
    <w:rsid w:val="0038082A"/>
    <w:rsid w:val="003818A3"/>
    <w:rsid w:val="0038495E"/>
    <w:rsid w:val="00390DFC"/>
    <w:rsid w:val="0039435F"/>
    <w:rsid w:val="00394BC2"/>
    <w:rsid w:val="003A03CB"/>
    <w:rsid w:val="003A1720"/>
    <w:rsid w:val="003A266B"/>
    <w:rsid w:val="003A377E"/>
    <w:rsid w:val="003A6496"/>
    <w:rsid w:val="003B5084"/>
    <w:rsid w:val="003B55A5"/>
    <w:rsid w:val="003B68F6"/>
    <w:rsid w:val="003B6E81"/>
    <w:rsid w:val="003B762A"/>
    <w:rsid w:val="003C12C2"/>
    <w:rsid w:val="003C465F"/>
    <w:rsid w:val="003D0816"/>
    <w:rsid w:val="003D469A"/>
    <w:rsid w:val="003D5818"/>
    <w:rsid w:val="003D5E8F"/>
    <w:rsid w:val="003D7835"/>
    <w:rsid w:val="003E4DCD"/>
    <w:rsid w:val="003E5CFB"/>
    <w:rsid w:val="003F2FDF"/>
    <w:rsid w:val="003F50C0"/>
    <w:rsid w:val="003F56D5"/>
    <w:rsid w:val="003F6ED2"/>
    <w:rsid w:val="0040151D"/>
    <w:rsid w:val="004026FF"/>
    <w:rsid w:val="004140C6"/>
    <w:rsid w:val="0041717B"/>
    <w:rsid w:val="00425712"/>
    <w:rsid w:val="00425B3C"/>
    <w:rsid w:val="00433BB7"/>
    <w:rsid w:val="0043480A"/>
    <w:rsid w:val="0043492B"/>
    <w:rsid w:val="00447244"/>
    <w:rsid w:val="00450472"/>
    <w:rsid w:val="004519CF"/>
    <w:rsid w:val="0045329A"/>
    <w:rsid w:val="00453560"/>
    <w:rsid w:val="00453B55"/>
    <w:rsid w:val="004563DF"/>
    <w:rsid w:val="004566F3"/>
    <w:rsid w:val="00456E8C"/>
    <w:rsid w:val="00457A35"/>
    <w:rsid w:val="004613AE"/>
    <w:rsid w:val="00461E16"/>
    <w:rsid w:val="004623D3"/>
    <w:rsid w:val="00462D28"/>
    <w:rsid w:val="00462D9C"/>
    <w:rsid w:val="00467AB7"/>
    <w:rsid w:val="0047249D"/>
    <w:rsid w:val="00477FC4"/>
    <w:rsid w:val="00481183"/>
    <w:rsid w:val="00481292"/>
    <w:rsid w:val="004828A6"/>
    <w:rsid w:val="00483297"/>
    <w:rsid w:val="0048430D"/>
    <w:rsid w:val="00487813"/>
    <w:rsid w:val="00487A59"/>
    <w:rsid w:val="00491148"/>
    <w:rsid w:val="00491518"/>
    <w:rsid w:val="004916C0"/>
    <w:rsid w:val="00492CEA"/>
    <w:rsid w:val="0049389D"/>
    <w:rsid w:val="00494D18"/>
    <w:rsid w:val="00494E0B"/>
    <w:rsid w:val="00495B41"/>
    <w:rsid w:val="0049724C"/>
    <w:rsid w:val="004A5DA5"/>
    <w:rsid w:val="004A6715"/>
    <w:rsid w:val="004B1F38"/>
    <w:rsid w:val="004B30B7"/>
    <w:rsid w:val="004B6A83"/>
    <w:rsid w:val="004C0F95"/>
    <w:rsid w:val="004C12F4"/>
    <w:rsid w:val="004C1B21"/>
    <w:rsid w:val="004C44AF"/>
    <w:rsid w:val="004D0E4E"/>
    <w:rsid w:val="004D5D1B"/>
    <w:rsid w:val="004E20D4"/>
    <w:rsid w:val="004E357A"/>
    <w:rsid w:val="004E4BF8"/>
    <w:rsid w:val="004E6287"/>
    <w:rsid w:val="004F00BB"/>
    <w:rsid w:val="004F7035"/>
    <w:rsid w:val="00505A73"/>
    <w:rsid w:val="0051035A"/>
    <w:rsid w:val="00520A37"/>
    <w:rsid w:val="005220B6"/>
    <w:rsid w:val="0052500F"/>
    <w:rsid w:val="00530273"/>
    <w:rsid w:val="00531073"/>
    <w:rsid w:val="00532E56"/>
    <w:rsid w:val="00533341"/>
    <w:rsid w:val="00533E0F"/>
    <w:rsid w:val="00533E1F"/>
    <w:rsid w:val="00536065"/>
    <w:rsid w:val="0054000F"/>
    <w:rsid w:val="005435C8"/>
    <w:rsid w:val="005438AA"/>
    <w:rsid w:val="00543F87"/>
    <w:rsid w:val="0054511C"/>
    <w:rsid w:val="00545D3B"/>
    <w:rsid w:val="00552067"/>
    <w:rsid w:val="00553B59"/>
    <w:rsid w:val="00555879"/>
    <w:rsid w:val="005577C4"/>
    <w:rsid w:val="00563EFC"/>
    <w:rsid w:val="00567502"/>
    <w:rsid w:val="00567FDA"/>
    <w:rsid w:val="00573E6C"/>
    <w:rsid w:val="00574C14"/>
    <w:rsid w:val="0058100A"/>
    <w:rsid w:val="0058265C"/>
    <w:rsid w:val="005878B6"/>
    <w:rsid w:val="005914D4"/>
    <w:rsid w:val="00593466"/>
    <w:rsid w:val="00593DD5"/>
    <w:rsid w:val="005945F0"/>
    <w:rsid w:val="00595C63"/>
    <w:rsid w:val="00595E70"/>
    <w:rsid w:val="00596735"/>
    <w:rsid w:val="005A1035"/>
    <w:rsid w:val="005A130F"/>
    <w:rsid w:val="005A3834"/>
    <w:rsid w:val="005A7A22"/>
    <w:rsid w:val="005B330D"/>
    <w:rsid w:val="005B3926"/>
    <w:rsid w:val="005B6037"/>
    <w:rsid w:val="005B7076"/>
    <w:rsid w:val="005C3882"/>
    <w:rsid w:val="005C4B52"/>
    <w:rsid w:val="005C4ECE"/>
    <w:rsid w:val="005C6C48"/>
    <w:rsid w:val="005D4508"/>
    <w:rsid w:val="005E1529"/>
    <w:rsid w:val="005E4924"/>
    <w:rsid w:val="005E4F8D"/>
    <w:rsid w:val="005E7406"/>
    <w:rsid w:val="005F7C3E"/>
    <w:rsid w:val="00602905"/>
    <w:rsid w:val="0060449B"/>
    <w:rsid w:val="00610986"/>
    <w:rsid w:val="00612304"/>
    <w:rsid w:val="006175EA"/>
    <w:rsid w:val="006218B1"/>
    <w:rsid w:val="00622272"/>
    <w:rsid w:val="006241B9"/>
    <w:rsid w:val="00624215"/>
    <w:rsid w:val="0062424C"/>
    <w:rsid w:val="00624981"/>
    <w:rsid w:val="00625805"/>
    <w:rsid w:val="006264E7"/>
    <w:rsid w:val="0062745F"/>
    <w:rsid w:val="006365D4"/>
    <w:rsid w:val="006403E6"/>
    <w:rsid w:val="00642B46"/>
    <w:rsid w:val="00644308"/>
    <w:rsid w:val="0064530E"/>
    <w:rsid w:val="00646AF3"/>
    <w:rsid w:val="006559B5"/>
    <w:rsid w:val="00655C92"/>
    <w:rsid w:val="00660E74"/>
    <w:rsid w:val="006627B2"/>
    <w:rsid w:val="00663F66"/>
    <w:rsid w:val="00665AE1"/>
    <w:rsid w:val="00671C3D"/>
    <w:rsid w:val="00671C73"/>
    <w:rsid w:val="0067215C"/>
    <w:rsid w:val="00672D87"/>
    <w:rsid w:val="00672EAB"/>
    <w:rsid w:val="00673341"/>
    <w:rsid w:val="0067423B"/>
    <w:rsid w:val="006770D7"/>
    <w:rsid w:val="00685BCE"/>
    <w:rsid w:val="00685DC7"/>
    <w:rsid w:val="00687A41"/>
    <w:rsid w:val="00690CB0"/>
    <w:rsid w:val="00693535"/>
    <w:rsid w:val="0069477E"/>
    <w:rsid w:val="0069722A"/>
    <w:rsid w:val="006A0E0C"/>
    <w:rsid w:val="006A67FD"/>
    <w:rsid w:val="006B063A"/>
    <w:rsid w:val="006B4670"/>
    <w:rsid w:val="006B72EE"/>
    <w:rsid w:val="006C25EE"/>
    <w:rsid w:val="006C2D3D"/>
    <w:rsid w:val="006C3EDB"/>
    <w:rsid w:val="006C4BD3"/>
    <w:rsid w:val="006C6425"/>
    <w:rsid w:val="006C67F3"/>
    <w:rsid w:val="006D1969"/>
    <w:rsid w:val="006D31EE"/>
    <w:rsid w:val="006D606D"/>
    <w:rsid w:val="006E023A"/>
    <w:rsid w:val="006E2EBC"/>
    <w:rsid w:val="006E3E18"/>
    <w:rsid w:val="006F6F4B"/>
    <w:rsid w:val="007005BE"/>
    <w:rsid w:val="007011A9"/>
    <w:rsid w:val="00704FCD"/>
    <w:rsid w:val="00706CE1"/>
    <w:rsid w:val="00715BE1"/>
    <w:rsid w:val="007161E5"/>
    <w:rsid w:val="0072170A"/>
    <w:rsid w:val="007237CE"/>
    <w:rsid w:val="007255AE"/>
    <w:rsid w:val="0073062F"/>
    <w:rsid w:val="00735705"/>
    <w:rsid w:val="007412BE"/>
    <w:rsid w:val="00743274"/>
    <w:rsid w:val="00743DA0"/>
    <w:rsid w:val="007458E6"/>
    <w:rsid w:val="007462D3"/>
    <w:rsid w:val="007500E4"/>
    <w:rsid w:val="007524BB"/>
    <w:rsid w:val="007528C5"/>
    <w:rsid w:val="007533A3"/>
    <w:rsid w:val="007547B7"/>
    <w:rsid w:val="00755793"/>
    <w:rsid w:val="007579B7"/>
    <w:rsid w:val="0076380F"/>
    <w:rsid w:val="007651A3"/>
    <w:rsid w:val="00766655"/>
    <w:rsid w:val="00766DC0"/>
    <w:rsid w:val="00770798"/>
    <w:rsid w:val="00777198"/>
    <w:rsid w:val="00781300"/>
    <w:rsid w:val="00792A62"/>
    <w:rsid w:val="00794D2C"/>
    <w:rsid w:val="007955B8"/>
    <w:rsid w:val="0079799A"/>
    <w:rsid w:val="007A30AE"/>
    <w:rsid w:val="007A565E"/>
    <w:rsid w:val="007A600D"/>
    <w:rsid w:val="007A70C9"/>
    <w:rsid w:val="007A7268"/>
    <w:rsid w:val="007B1D29"/>
    <w:rsid w:val="007B3049"/>
    <w:rsid w:val="007B3BD1"/>
    <w:rsid w:val="007B5DFF"/>
    <w:rsid w:val="007C15E9"/>
    <w:rsid w:val="007C44F7"/>
    <w:rsid w:val="007C5A1D"/>
    <w:rsid w:val="007C68A8"/>
    <w:rsid w:val="007E00B1"/>
    <w:rsid w:val="007E0732"/>
    <w:rsid w:val="007E0EED"/>
    <w:rsid w:val="007E2248"/>
    <w:rsid w:val="007E46C2"/>
    <w:rsid w:val="007E4AA5"/>
    <w:rsid w:val="007E50E2"/>
    <w:rsid w:val="007E7607"/>
    <w:rsid w:val="007F2605"/>
    <w:rsid w:val="007F71A0"/>
    <w:rsid w:val="00801B9A"/>
    <w:rsid w:val="0080328D"/>
    <w:rsid w:val="00803DFA"/>
    <w:rsid w:val="00803F17"/>
    <w:rsid w:val="00810D2A"/>
    <w:rsid w:val="00811CD7"/>
    <w:rsid w:val="00812E5C"/>
    <w:rsid w:val="008136D6"/>
    <w:rsid w:val="00815205"/>
    <w:rsid w:val="00815B85"/>
    <w:rsid w:val="00816B22"/>
    <w:rsid w:val="00816E5B"/>
    <w:rsid w:val="00820688"/>
    <w:rsid w:val="00821463"/>
    <w:rsid w:val="00822243"/>
    <w:rsid w:val="00823369"/>
    <w:rsid w:val="00826606"/>
    <w:rsid w:val="008315F3"/>
    <w:rsid w:val="00832429"/>
    <w:rsid w:val="00834149"/>
    <w:rsid w:val="0083475C"/>
    <w:rsid w:val="008358AD"/>
    <w:rsid w:val="008400C8"/>
    <w:rsid w:val="00841C6D"/>
    <w:rsid w:val="00842183"/>
    <w:rsid w:val="008463E3"/>
    <w:rsid w:val="00846635"/>
    <w:rsid w:val="00854401"/>
    <w:rsid w:val="00856BAA"/>
    <w:rsid w:val="00861E3D"/>
    <w:rsid w:val="008666E0"/>
    <w:rsid w:val="00866E0E"/>
    <w:rsid w:val="0086790E"/>
    <w:rsid w:val="00871C9F"/>
    <w:rsid w:val="0087264F"/>
    <w:rsid w:val="00874D93"/>
    <w:rsid w:val="008757BF"/>
    <w:rsid w:val="0088017F"/>
    <w:rsid w:val="008850FA"/>
    <w:rsid w:val="00886D45"/>
    <w:rsid w:val="00887AB9"/>
    <w:rsid w:val="0089391A"/>
    <w:rsid w:val="00893CDA"/>
    <w:rsid w:val="00895822"/>
    <w:rsid w:val="008A6476"/>
    <w:rsid w:val="008B240F"/>
    <w:rsid w:val="008B2532"/>
    <w:rsid w:val="008B6F23"/>
    <w:rsid w:val="008C2876"/>
    <w:rsid w:val="008C3CE2"/>
    <w:rsid w:val="008C5C67"/>
    <w:rsid w:val="008D04A0"/>
    <w:rsid w:val="008D080D"/>
    <w:rsid w:val="008D08F2"/>
    <w:rsid w:val="008D0F57"/>
    <w:rsid w:val="008D2EA8"/>
    <w:rsid w:val="008D67A5"/>
    <w:rsid w:val="008D68A6"/>
    <w:rsid w:val="008D73F3"/>
    <w:rsid w:val="008E1E49"/>
    <w:rsid w:val="008E31A4"/>
    <w:rsid w:val="008E3918"/>
    <w:rsid w:val="008E65C2"/>
    <w:rsid w:val="008E7F5B"/>
    <w:rsid w:val="008F16E2"/>
    <w:rsid w:val="008F5ECD"/>
    <w:rsid w:val="0090507D"/>
    <w:rsid w:val="00906B2F"/>
    <w:rsid w:val="00911B47"/>
    <w:rsid w:val="00912B7C"/>
    <w:rsid w:val="0091492E"/>
    <w:rsid w:val="00923003"/>
    <w:rsid w:val="00927853"/>
    <w:rsid w:val="00930B83"/>
    <w:rsid w:val="00930B9C"/>
    <w:rsid w:val="009368EA"/>
    <w:rsid w:val="00941E0B"/>
    <w:rsid w:val="00944A1C"/>
    <w:rsid w:val="00944E28"/>
    <w:rsid w:val="00946CDC"/>
    <w:rsid w:val="00950F76"/>
    <w:rsid w:val="00955768"/>
    <w:rsid w:val="00960109"/>
    <w:rsid w:val="00962F21"/>
    <w:rsid w:val="00962F58"/>
    <w:rsid w:val="009668D9"/>
    <w:rsid w:val="00972459"/>
    <w:rsid w:val="009739A5"/>
    <w:rsid w:val="00980E22"/>
    <w:rsid w:val="00980FED"/>
    <w:rsid w:val="00982DF5"/>
    <w:rsid w:val="00983244"/>
    <w:rsid w:val="009873AE"/>
    <w:rsid w:val="0099426E"/>
    <w:rsid w:val="009A047C"/>
    <w:rsid w:val="009A2AB1"/>
    <w:rsid w:val="009A2B20"/>
    <w:rsid w:val="009A3553"/>
    <w:rsid w:val="009A52BF"/>
    <w:rsid w:val="009A6168"/>
    <w:rsid w:val="009C026D"/>
    <w:rsid w:val="009C05AE"/>
    <w:rsid w:val="009C0BA7"/>
    <w:rsid w:val="009C1058"/>
    <w:rsid w:val="009C5F2A"/>
    <w:rsid w:val="009D35A5"/>
    <w:rsid w:val="009E1D52"/>
    <w:rsid w:val="009E27C0"/>
    <w:rsid w:val="009E7CFC"/>
    <w:rsid w:val="009F6CEC"/>
    <w:rsid w:val="00A00487"/>
    <w:rsid w:val="00A00C37"/>
    <w:rsid w:val="00A03E96"/>
    <w:rsid w:val="00A06478"/>
    <w:rsid w:val="00A1403B"/>
    <w:rsid w:val="00A20B1E"/>
    <w:rsid w:val="00A21F44"/>
    <w:rsid w:val="00A2299C"/>
    <w:rsid w:val="00A24094"/>
    <w:rsid w:val="00A26E11"/>
    <w:rsid w:val="00A3029A"/>
    <w:rsid w:val="00A30E06"/>
    <w:rsid w:val="00A3512E"/>
    <w:rsid w:val="00A40943"/>
    <w:rsid w:val="00A41F43"/>
    <w:rsid w:val="00A42407"/>
    <w:rsid w:val="00A42756"/>
    <w:rsid w:val="00A4378A"/>
    <w:rsid w:val="00A44FB1"/>
    <w:rsid w:val="00A46CFC"/>
    <w:rsid w:val="00A47DB9"/>
    <w:rsid w:val="00A50195"/>
    <w:rsid w:val="00A51808"/>
    <w:rsid w:val="00A524AB"/>
    <w:rsid w:val="00A53593"/>
    <w:rsid w:val="00A55CA7"/>
    <w:rsid w:val="00A56114"/>
    <w:rsid w:val="00A57285"/>
    <w:rsid w:val="00A620FB"/>
    <w:rsid w:val="00A719A6"/>
    <w:rsid w:val="00A73F8E"/>
    <w:rsid w:val="00A8016D"/>
    <w:rsid w:val="00A84232"/>
    <w:rsid w:val="00A855C5"/>
    <w:rsid w:val="00A90FE4"/>
    <w:rsid w:val="00A94B6A"/>
    <w:rsid w:val="00A96AAC"/>
    <w:rsid w:val="00A97BB7"/>
    <w:rsid w:val="00AA0E8D"/>
    <w:rsid w:val="00AA179B"/>
    <w:rsid w:val="00AA2441"/>
    <w:rsid w:val="00AA3BAA"/>
    <w:rsid w:val="00AA4081"/>
    <w:rsid w:val="00AB0DC4"/>
    <w:rsid w:val="00AB41B2"/>
    <w:rsid w:val="00AB7064"/>
    <w:rsid w:val="00AB7BDA"/>
    <w:rsid w:val="00AC4687"/>
    <w:rsid w:val="00AC4DFA"/>
    <w:rsid w:val="00AD3304"/>
    <w:rsid w:val="00AE6DAB"/>
    <w:rsid w:val="00AE7F7F"/>
    <w:rsid w:val="00AF2EC9"/>
    <w:rsid w:val="00AF60E7"/>
    <w:rsid w:val="00AF6DB2"/>
    <w:rsid w:val="00B00FF4"/>
    <w:rsid w:val="00B10310"/>
    <w:rsid w:val="00B32C43"/>
    <w:rsid w:val="00B341CD"/>
    <w:rsid w:val="00B362AD"/>
    <w:rsid w:val="00B36C15"/>
    <w:rsid w:val="00B36E61"/>
    <w:rsid w:val="00B42469"/>
    <w:rsid w:val="00B43F45"/>
    <w:rsid w:val="00B45DFF"/>
    <w:rsid w:val="00B47033"/>
    <w:rsid w:val="00B54B24"/>
    <w:rsid w:val="00B57A06"/>
    <w:rsid w:val="00B57E3A"/>
    <w:rsid w:val="00B623E8"/>
    <w:rsid w:val="00B62B8F"/>
    <w:rsid w:val="00B64746"/>
    <w:rsid w:val="00B7245F"/>
    <w:rsid w:val="00B731D9"/>
    <w:rsid w:val="00B736CE"/>
    <w:rsid w:val="00B80A6C"/>
    <w:rsid w:val="00B80F23"/>
    <w:rsid w:val="00B81D76"/>
    <w:rsid w:val="00B90766"/>
    <w:rsid w:val="00B943AD"/>
    <w:rsid w:val="00B94D75"/>
    <w:rsid w:val="00B95836"/>
    <w:rsid w:val="00B95C0D"/>
    <w:rsid w:val="00B96292"/>
    <w:rsid w:val="00B964D9"/>
    <w:rsid w:val="00B970FD"/>
    <w:rsid w:val="00B97162"/>
    <w:rsid w:val="00BA063E"/>
    <w:rsid w:val="00BA14CB"/>
    <w:rsid w:val="00BA1B4A"/>
    <w:rsid w:val="00BA2CA8"/>
    <w:rsid w:val="00BA2FA9"/>
    <w:rsid w:val="00BB1A01"/>
    <w:rsid w:val="00BB3C8C"/>
    <w:rsid w:val="00BB72E3"/>
    <w:rsid w:val="00BC0B17"/>
    <w:rsid w:val="00BD0428"/>
    <w:rsid w:val="00BD2335"/>
    <w:rsid w:val="00BD450E"/>
    <w:rsid w:val="00BF1D85"/>
    <w:rsid w:val="00BF5BE7"/>
    <w:rsid w:val="00C067E1"/>
    <w:rsid w:val="00C100D5"/>
    <w:rsid w:val="00C10937"/>
    <w:rsid w:val="00C10A85"/>
    <w:rsid w:val="00C11A75"/>
    <w:rsid w:val="00C1375C"/>
    <w:rsid w:val="00C15BC7"/>
    <w:rsid w:val="00C16934"/>
    <w:rsid w:val="00C24AE9"/>
    <w:rsid w:val="00C322A0"/>
    <w:rsid w:val="00C33167"/>
    <w:rsid w:val="00C3373F"/>
    <w:rsid w:val="00C35C56"/>
    <w:rsid w:val="00C37560"/>
    <w:rsid w:val="00C41386"/>
    <w:rsid w:val="00C467D1"/>
    <w:rsid w:val="00C47260"/>
    <w:rsid w:val="00C51F5C"/>
    <w:rsid w:val="00C52DC5"/>
    <w:rsid w:val="00C577EC"/>
    <w:rsid w:val="00C6013D"/>
    <w:rsid w:val="00C632D2"/>
    <w:rsid w:val="00C66E64"/>
    <w:rsid w:val="00C67BD3"/>
    <w:rsid w:val="00C71D24"/>
    <w:rsid w:val="00C76822"/>
    <w:rsid w:val="00C82B7D"/>
    <w:rsid w:val="00C85BA2"/>
    <w:rsid w:val="00C8619E"/>
    <w:rsid w:val="00C86A7C"/>
    <w:rsid w:val="00C9033C"/>
    <w:rsid w:val="00C9251E"/>
    <w:rsid w:val="00C93A9F"/>
    <w:rsid w:val="00C93EC0"/>
    <w:rsid w:val="00C94C69"/>
    <w:rsid w:val="00C94CE0"/>
    <w:rsid w:val="00C9741F"/>
    <w:rsid w:val="00CA0E5A"/>
    <w:rsid w:val="00CA115B"/>
    <w:rsid w:val="00CA1757"/>
    <w:rsid w:val="00CA1D74"/>
    <w:rsid w:val="00CA2F48"/>
    <w:rsid w:val="00CA4DE7"/>
    <w:rsid w:val="00CA4FD2"/>
    <w:rsid w:val="00CA61A1"/>
    <w:rsid w:val="00CA6B9E"/>
    <w:rsid w:val="00CB35B5"/>
    <w:rsid w:val="00CB777C"/>
    <w:rsid w:val="00CC4278"/>
    <w:rsid w:val="00CC6013"/>
    <w:rsid w:val="00CD086A"/>
    <w:rsid w:val="00CD0CBD"/>
    <w:rsid w:val="00CD153A"/>
    <w:rsid w:val="00CD3C03"/>
    <w:rsid w:val="00CD77EF"/>
    <w:rsid w:val="00CE067B"/>
    <w:rsid w:val="00CE18C5"/>
    <w:rsid w:val="00CE3FB7"/>
    <w:rsid w:val="00CF00D5"/>
    <w:rsid w:val="00CF0BDD"/>
    <w:rsid w:val="00D000C3"/>
    <w:rsid w:val="00D03512"/>
    <w:rsid w:val="00D0563E"/>
    <w:rsid w:val="00D06949"/>
    <w:rsid w:val="00D07565"/>
    <w:rsid w:val="00D119F9"/>
    <w:rsid w:val="00D14DA8"/>
    <w:rsid w:val="00D16D04"/>
    <w:rsid w:val="00D17052"/>
    <w:rsid w:val="00D17F5D"/>
    <w:rsid w:val="00D21EBC"/>
    <w:rsid w:val="00D24AE0"/>
    <w:rsid w:val="00D257F8"/>
    <w:rsid w:val="00D40D02"/>
    <w:rsid w:val="00D416BE"/>
    <w:rsid w:val="00D45FD7"/>
    <w:rsid w:val="00D50B7E"/>
    <w:rsid w:val="00D5653C"/>
    <w:rsid w:val="00D56B3C"/>
    <w:rsid w:val="00D6048B"/>
    <w:rsid w:val="00D615BC"/>
    <w:rsid w:val="00D65CE0"/>
    <w:rsid w:val="00D66C40"/>
    <w:rsid w:val="00D67B3F"/>
    <w:rsid w:val="00D715E9"/>
    <w:rsid w:val="00D718AB"/>
    <w:rsid w:val="00D862CA"/>
    <w:rsid w:val="00D91427"/>
    <w:rsid w:val="00D94E4B"/>
    <w:rsid w:val="00D9675C"/>
    <w:rsid w:val="00DA6357"/>
    <w:rsid w:val="00DB001F"/>
    <w:rsid w:val="00DB0A1F"/>
    <w:rsid w:val="00DB3020"/>
    <w:rsid w:val="00DB4588"/>
    <w:rsid w:val="00DB4F21"/>
    <w:rsid w:val="00DC2563"/>
    <w:rsid w:val="00DC2FDD"/>
    <w:rsid w:val="00DC4FE6"/>
    <w:rsid w:val="00DC59DD"/>
    <w:rsid w:val="00DD43C2"/>
    <w:rsid w:val="00DD473E"/>
    <w:rsid w:val="00DD4D7F"/>
    <w:rsid w:val="00DD53BB"/>
    <w:rsid w:val="00DD70C0"/>
    <w:rsid w:val="00DD7E8B"/>
    <w:rsid w:val="00DE0F26"/>
    <w:rsid w:val="00DE19A0"/>
    <w:rsid w:val="00DE291E"/>
    <w:rsid w:val="00DE7F5E"/>
    <w:rsid w:val="00DF0469"/>
    <w:rsid w:val="00DF3B1A"/>
    <w:rsid w:val="00DF4948"/>
    <w:rsid w:val="00DF6E18"/>
    <w:rsid w:val="00E01014"/>
    <w:rsid w:val="00E02174"/>
    <w:rsid w:val="00E035F0"/>
    <w:rsid w:val="00E03BF7"/>
    <w:rsid w:val="00E07135"/>
    <w:rsid w:val="00E1405E"/>
    <w:rsid w:val="00E15207"/>
    <w:rsid w:val="00E1612F"/>
    <w:rsid w:val="00E177D2"/>
    <w:rsid w:val="00E23E7D"/>
    <w:rsid w:val="00E3080F"/>
    <w:rsid w:val="00E30D02"/>
    <w:rsid w:val="00E30F03"/>
    <w:rsid w:val="00E3175B"/>
    <w:rsid w:val="00E328B5"/>
    <w:rsid w:val="00E32F7C"/>
    <w:rsid w:val="00E36CB9"/>
    <w:rsid w:val="00E449D2"/>
    <w:rsid w:val="00E4512A"/>
    <w:rsid w:val="00E51542"/>
    <w:rsid w:val="00E52115"/>
    <w:rsid w:val="00E5252C"/>
    <w:rsid w:val="00E52557"/>
    <w:rsid w:val="00E536EB"/>
    <w:rsid w:val="00E62459"/>
    <w:rsid w:val="00E62DE5"/>
    <w:rsid w:val="00E70144"/>
    <w:rsid w:val="00E71834"/>
    <w:rsid w:val="00E72440"/>
    <w:rsid w:val="00E8034E"/>
    <w:rsid w:val="00E82308"/>
    <w:rsid w:val="00E82882"/>
    <w:rsid w:val="00E86860"/>
    <w:rsid w:val="00E921B9"/>
    <w:rsid w:val="00E95DBD"/>
    <w:rsid w:val="00E97619"/>
    <w:rsid w:val="00E97A1C"/>
    <w:rsid w:val="00EA2379"/>
    <w:rsid w:val="00EA5897"/>
    <w:rsid w:val="00EB02F4"/>
    <w:rsid w:val="00EB156F"/>
    <w:rsid w:val="00EB3FB8"/>
    <w:rsid w:val="00EB5530"/>
    <w:rsid w:val="00EB757C"/>
    <w:rsid w:val="00EC03A8"/>
    <w:rsid w:val="00EC1C66"/>
    <w:rsid w:val="00EC6A69"/>
    <w:rsid w:val="00ED2B83"/>
    <w:rsid w:val="00ED3F21"/>
    <w:rsid w:val="00ED6E71"/>
    <w:rsid w:val="00EE15DF"/>
    <w:rsid w:val="00EE5EF4"/>
    <w:rsid w:val="00EF0BF7"/>
    <w:rsid w:val="00EF47CE"/>
    <w:rsid w:val="00F01D62"/>
    <w:rsid w:val="00F025B7"/>
    <w:rsid w:val="00F0340D"/>
    <w:rsid w:val="00F0549D"/>
    <w:rsid w:val="00F059B2"/>
    <w:rsid w:val="00F108E4"/>
    <w:rsid w:val="00F13E60"/>
    <w:rsid w:val="00F1459E"/>
    <w:rsid w:val="00F153D1"/>
    <w:rsid w:val="00F16C73"/>
    <w:rsid w:val="00F2088A"/>
    <w:rsid w:val="00F268CB"/>
    <w:rsid w:val="00F324CF"/>
    <w:rsid w:val="00F32D9A"/>
    <w:rsid w:val="00F365C7"/>
    <w:rsid w:val="00F37E47"/>
    <w:rsid w:val="00F44510"/>
    <w:rsid w:val="00F47C8D"/>
    <w:rsid w:val="00F52221"/>
    <w:rsid w:val="00F52A3A"/>
    <w:rsid w:val="00F55733"/>
    <w:rsid w:val="00F564C7"/>
    <w:rsid w:val="00F608CD"/>
    <w:rsid w:val="00F61D6E"/>
    <w:rsid w:val="00F637EA"/>
    <w:rsid w:val="00F6424E"/>
    <w:rsid w:val="00F7223D"/>
    <w:rsid w:val="00F731E7"/>
    <w:rsid w:val="00F758FE"/>
    <w:rsid w:val="00F764EE"/>
    <w:rsid w:val="00F80511"/>
    <w:rsid w:val="00F80C00"/>
    <w:rsid w:val="00F85C11"/>
    <w:rsid w:val="00F85C39"/>
    <w:rsid w:val="00F87AC8"/>
    <w:rsid w:val="00F87D13"/>
    <w:rsid w:val="00F90CE9"/>
    <w:rsid w:val="00F91336"/>
    <w:rsid w:val="00F91962"/>
    <w:rsid w:val="00F92EAF"/>
    <w:rsid w:val="00F9522F"/>
    <w:rsid w:val="00FA2E7E"/>
    <w:rsid w:val="00FA3343"/>
    <w:rsid w:val="00FA566B"/>
    <w:rsid w:val="00FA6913"/>
    <w:rsid w:val="00FA695A"/>
    <w:rsid w:val="00FB453B"/>
    <w:rsid w:val="00FB7D17"/>
    <w:rsid w:val="00FC024C"/>
    <w:rsid w:val="00FC1E93"/>
    <w:rsid w:val="00FC31BD"/>
    <w:rsid w:val="00FC511F"/>
    <w:rsid w:val="00FD060F"/>
    <w:rsid w:val="00FD3862"/>
    <w:rsid w:val="00FD63B4"/>
    <w:rsid w:val="00FD7525"/>
    <w:rsid w:val="00FE1632"/>
    <w:rsid w:val="00FE2251"/>
    <w:rsid w:val="00FE2AD6"/>
    <w:rsid w:val="00FE668A"/>
    <w:rsid w:val="00FF06FC"/>
    <w:rsid w:val="00FF19DA"/>
    <w:rsid w:val="00FF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5:chartTrackingRefBased/>
  <w15:docId w15:val="{6F55CB17-8B8A-4B71-B5E9-F616066D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3CB"/>
    <w:rPr>
      <w:rFonts w:ascii="Angsana New" w:hAnsi="Angsana New" w:cs="Tahoma"/>
      <w:sz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2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2"/>
      </w:numPr>
      <w:tabs>
        <w:tab w:val="left" w:pos="0"/>
      </w:tabs>
      <w:outlineLvl w:val="1"/>
    </w:pPr>
    <w:rPr>
      <w:rFonts w:ascii="Tahoma" w:hAnsi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tabs>
        <w:tab w:val="left" w:pos="727"/>
      </w:tabs>
      <w:outlineLvl w:val="2"/>
    </w:pPr>
    <w:rPr>
      <w:rFonts w:ascii="Tahoma" w:hAnsi="Tahoma"/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outlineLvl w:val="5"/>
    </w:pPr>
    <w:rPr>
      <w:rFonts w:ascii="Tahoma" w:hAnsi="Tahoma"/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2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pPr>
      <w:jc w:val="center"/>
    </w:pPr>
    <w:rPr>
      <w:rFonts w:ascii="Tahoma" w:hAnsi="Tahoma"/>
      <w:b/>
      <w:bCs/>
      <w:sz w:val="28"/>
      <w:szCs w:val="28"/>
      <w:u w:val="singl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/>
      <w:sz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lang w:bidi="ar-SA"/>
    </w:rPr>
  </w:style>
  <w:style w:type="paragraph" w:customStyle="1" w:styleId="DataSet1">
    <w:name w:val="Data Set1"/>
    <w:basedOn w:val="Normal"/>
    <w:rPr>
      <w:rFonts w:ascii="Tahoma" w:hAnsi="Tahoma"/>
      <w:sz w:val="20"/>
    </w:rPr>
  </w:style>
  <w:style w:type="paragraph" w:customStyle="1" w:styleId="Appendix">
    <w:name w:val="Appendix"/>
    <w:basedOn w:val="Heading1"/>
    <w:next w:val="Normal"/>
    <w:pPr>
      <w:numPr>
        <w:numId w:val="1"/>
      </w:numPr>
    </w:pPr>
    <w:rPr>
      <w:rFonts w:cs="Angsana New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BodyText2">
    <w:name w:val="Body Text 2"/>
    <w:basedOn w:val="Normal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character" w:customStyle="1" w:styleId="TableTextChar">
    <w:name w:val="Table Text Char"/>
    <w:link w:val="TableText"/>
    <w:rsid w:val="007E0732"/>
    <w:rPr>
      <w:rFonts w:ascii="Tahoma" w:hAnsi="Tahoma" w:cs="Arial Unicode MS"/>
      <w:lang w:val="en-US" w:eastAsia="en-US" w:bidi="ar-SA"/>
    </w:rPr>
  </w:style>
  <w:style w:type="character" w:customStyle="1" w:styleId="TitleChar">
    <w:name w:val="Title Char"/>
    <w:link w:val="Title"/>
    <w:rsid w:val="002A5E61"/>
    <w:rPr>
      <w:rFonts w:ascii="Tahoma" w:hAnsi="Tahoma" w:cs="Tahoma"/>
      <w:b/>
      <w:bCs/>
      <w:sz w:val="28"/>
      <w:szCs w:val="28"/>
      <w:u w:val="single"/>
    </w:rPr>
  </w:style>
  <w:style w:type="character" w:customStyle="1" w:styleId="HeaderChar">
    <w:name w:val="Header Char"/>
    <w:link w:val="Header"/>
    <w:uiPriority w:val="99"/>
    <w:rsid w:val="00D21EBC"/>
    <w:rPr>
      <w:rFonts w:ascii="Angsana New" w:hAnsi="Angsana New" w:cs="Tahoma"/>
      <w:sz w:val="32"/>
    </w:rPr>
  </w:style>
  <w:style w:type="paragraph" w:customStyle="1" w:styleId="xl29">
    <w:name w:val="xl29"/>
    <w:basedOn w:val="Normal"/>
    <w:rsid w:val="00321D56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styleId="ListParagraph">
    <w:name w:val="List Paragraph"/>
    <w:basedOn w:val="Normal"/>
    <w:uiPriority w:val="34"/>
    <w:qFormat/>
    <w:rsid w:val="007C5A1D"/>
    <w:pPr>
      <w:ind w:left="720"/>
      <w:contextualSpacing/>
    </w:pPr>
    <w:rPr>
      <w:rFonts w:cs="Angsana New"/>
      <w:szCs w:val="40"/>
    </w:rPr>
  </w:style>
  <w:style w:type="character" w:customStyle="1" w:styleId="Heading2Char">
    <w:name w:val="Heading 2 Char"/>
    <w:link w:val="Heading2"/>
    <w:rsid w:val="00AB7064"/>
    <w:rPr>
      <w:rFonts w:ascii="Tahoma" w:hAnsi="Tahoma" w:cs="Tahoma"/>
      <w:b/>
      <w:bCs/>
      <w:i/>
      <w:iCs/>
      <w:sz w:val="24"/>
      <w:szCs w:val="24"/>
    </w:rPr>
  </w:style>
  <w:style w:type="table" w:styleId="TableGrid">
    <w:name w:val="Table Grid"/>
    <w:basedOn w:val="TableNormal"/>
    <w:uiPriority w:val="39"/>
    <w:rsid w:val="00B36E61"/>
    <w:rPr>
      <w:rFonts w:ascii="BrowalliaUPC" w:eastAsia="Calibri" w:hAnsi="BrowalliaUPC" w:cs="BrowalliaUP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0AD15E-33A6-4D58-B3E1-CF3894E1DB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368F36-CF59-4D01-9C88-12D83F8A8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5DB2AC-9DBD-4713-AC2A-5561C469229F}">
  <ds:schemaRefs>
    <ds:schemaRef ds:uri="e0ff0205-9775-4d11-817e-13aacec916c5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5EC29FE-6D1C-4AD9-8918-6857ED2CF8A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C0763F1D-DF05-4758-A1C1-EB6D62A8E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1503</Words>
  <Characters>5870</Characters>
  <Application>Microsoft Office Word</Application>
  <DocSecurity>0</DocSecurity>
  <Lines>48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7359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cp:lastModifiedBy>อริศรา ธัญญธาดา</cp:lastModifiedBy>
  <cp:revision>5</cp:revision>
  <cp:lastPrinted>2015-07-09T08:30:00Z</cp:lastPrinted>
  <dcterms:created xsi:type="dcterms:W3CDTF">2019-07-11T02:12:00Z</dcterms:created>
  <dcterms:modified xsi:type="dcterms:W3CDTF">2019-07-11T04:02:00Z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V.9.1</vt:lpwstr>
  </property>
  <property fmtid="{D5CDD505-2E9C-101B-9397-08002B2CF9AE}" pid="3" name="Order">
    <vt:lpwstr>2100.00000000000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Manual - Summary of changes version 14.0 : วันที่เผยแพร่ 20 ก.ค. 58</vt:lpwstr>
  </property>
  <property fmtid="{D5CDD505-2E9C-101B-9397-08002B2CF9AE}" pid="6" name="ordinal1">
    <vt:lpwstr>1.00000000000000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</Properties>
</file>