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>
      <w:pPr>
        <w:pStyle w:val="Title"/>
        <w:ind w:left="498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6A0E0C">
        <w:rPr>
          <w:sz w:val="20"/>
          <w:szCs w:val="20"/>
        </w:rPr>
        <w:t>MGL</w:t>
      </w:r>
      <w:r w:rsidR="00A94B6A" w:rsidRPr="00A94B6A">
        <w:rPr>
          <w:sz w:val="20"/>
          <w:szCs w:val="20"/>
        </w:rPr>
        <w:t xml:space="preserve">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0C3119">
      <w:pPr>
        <w:pStyle w:val="Title"/>
        <w:spacing w:before="120"/>
        <w:ind w:left="499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6A0E0C">
        <w:rPr>
          <w:sz w:val="20"/>
          <w:szCs w:val="20"/>
          <w:u w:val="none"/>
        </w:rPr>
        <w:t>MGL</w:t>
      </w:r>
      <w:r w:rsidR="00766655">
        <w:rPr>
          <w:sz w:val="20"/>
          <w:szCs w:val="20"/>
          <w:u w:val="none"/>
        </w:rPr>
        <w:t xml:space="preserve"> </w:t>
      </w:r>
      <w:r w:rsidRPr="000C3119">
        <w:rPr>
          <w:sz w:val="20"/>
          <w:szCs w:val="20"/>
          <w:u w:val="none"/>
        </w:rPr>
        <w:t xml:space="preserve">Data Set Manual Version </w:t>
      </w:r>
      <w:r w:rsidR="00930B9C" w:rsidRPr="000C3119">
        <w:rPr>
          <w:sz w:val="20"/>
          <w:szCs w:val="20"/>
          <w:u w:val="none"/>
        </w:rPr>
        <w:t>1.</w:t>
      </w:r>
      <w:r w:rsidR="003015A3">
        <w:rPr>
          <w:sz w:val="20"/>
          <w:szCs w:val="20"/>
          <w:u w:val="none"/>
        </w:rPr>
        <w:t>3</w:t>
      </w:r>
    </w:p>
    <w:p w:rsidR="00A90FE4" w:rsidRDefault="00C52DC5" w:rsidP="0051035A">
      <w:pPr>
        <w:pStyle w:val="Sub-block"/>
        <w:ind w:left="0" w:firstLine="499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3015A3">
        <w:rPr>
          <w:rFonts w:cs="Tahoma"/>
          <w:sz w:val="20"/>
          <w:szCs w:val="20"/>
        </w:rPr>
        <w:t>2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5945F0">
        <w:rPr>
          <w:rFonts w:cs="Tahoma"/>
          <w:sz w:val="20"/>
          <w:szCs w:val="20"/>
          <w:lang w:bidi="th-TH"/>
        </w:rPr>
        <w:t>.</w:t>
      </w:r>
      <w:r w:rsidR="003015A3">
        <w:rPr>
          <w:rFonts w:cs="Tahoma"/>
          <w:sz w:val="20"/>
          <w:szCs w:val="20"/>
        </w:rPr>
        <w:t>3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3015A3" w:rsidRPr="003015A3">
        <w:rPr>
          <w:rFonts w:cs="Tahoma"/>
          <w:color w:val="00B050"/>
          <w:sz w:val="20"/>
          <w:szCs w:val="20"/>
        </w:rPr>
        <w:t>green</w:t>
      </w:r>
      <w:r w:rsidR="000940E0" w:rsidRPr="003015A3">
        <w:rPr>
          <w:rFonts w:cs="Tahoma"/>
          <w:color w:val="00B050"/>
          <w:sz w:val="20"/>
          <w:szCs w:val="20"/>
        </w:rPr>
        <w:t xml:space="preserve"> font</w:t>
      </w:r>
      <w:r w:rsidR="000364B8" w:rsidRPr="003015A3">
        <w:rPr>
          <w:rFonts w:cs="Tahoma"/>
          <w:color w:val="00B050"/>
          <w:sz w:val="20"/>
          <w:szCs w:val="20"/>
        </w:rPr>
        <w:t xml:space="preserve">. </w:t>
      </w:r>
      <w:r w:rsidR="000364B8" w:rsidRPr="003015A3">
        <w:rPr>
          <w:rFonts w:cs="Tahoma"/>
          <w:b w:val="0"/>
          <w:bCs w:val="0"/>
          <w:color w:val="00B050"/>
          <w:sz w:val="20"/>
          <w:szCs w:val="20"/>
        </w:rPr>
        <w:t xml:space="preserve">  </w:t>
      </w:r>
    </w:p>
    <w:p w:rsidR="00BB72E3" w:rsidRPr="0034273C" w:rsidRDefault="000364B8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  <w:r w:rsidRPr="0034273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3015A3" w:rsidRPr="00A94B6A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3015A3" w:rsidRPr="00A94B6A" w:rsidRDefault="003015A3" w:rsidP="003015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881" w:type="dxa"/>
          </w:tcPr>
          <w:p w:rsidR="003015A3" w:rsidRPr="00B36E61" w:rsidRDefault="00380C6A" w:rsidP="00380C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:rsidR="003015A3" w:rsidRPr="00A94B6A" w:rsidRDefault="003015A3" w:rsidP="003015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3015A3" w:rsidRPr="00A94B6A" w:rsidRDefault="003015A3" w:rsidP="003015A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sz w:val="20"/>
                <w:szCs w:val="20"/>
                <w:u w:val="none"/>
              </w:rPr>
              <w:t>Borrower's Income</w:t>
            </w:r>
          </w:p>
        </w:tc>
        <w:tc>
          <w:tcPr>
            <w:tcW w:w="9815" w:type="dxa"/>
          </w:tcPr>
          <w:p w:rsidR="003015A3" w:rsidRPr="005E7406" w:rsidRDefault="003015A3" w:rsidP="003015A3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:rsidR="003015A3" w:rsidRDefault="003015A3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:rsidR="003015A3" w:rsidRPr="00DE7F5E" w:rsidRDefault="003015A3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รายได้รวมของผู้กู้ </w:t>
            </w:r>
            <w:r w:rsidRPr="00EA427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(ผู้กู้หลัก + ผู้กู้ร่วม)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(หน่วย: บาทต่อเดือน) ซึ่งแบ่งออกเป็น 2 กรณี ได้แก่</w:t>
            </w:r>
          </w:p>
          <w:p w:rsidR="003015A3" w:rsidRPr="008F5ECD" w:rsidRDefault="003015A3" w:rsidP="003015A3">
            <w:pPr>
              <w:pStyle w:val="Title"/>
              <w:spacing w:line="360" w:lineRule="auto"/>
              <w:jc w:val="left"/>
              <w:rPr>
                <w:color w:val="FF0000"/>
                <w:sz w:val="20"/>
                <w:szCs w:val="20"/>
                <w:u w:val="none"/>
              </w:rPr>
            </w:pPr>
            <w:r w:rsidRPr="008F5ECD">
              <w:rPr>
                <w:color w:val="FF0000"/>
                <w:sz w:val="20"/>
                <w:szCs w:val="20"/>
                <w:u w:val="none"/>
              </w:rPr>
              <w:t xml:space="preserve">(1) Employed </w:t>
            </w:r>
          </w:p>
          <w:p w:rsidR="003015A3" w:rsidRPr="008F5ECD" w:rsidRDefault="003015A3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(1.1)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รายได้คงที่ ให้ใช้รายได้ต่อเดือนงวดล่าสุด</w:t>
            </w:r>
          </w:p>
          <w:p w:rsidR="003015A3" w:rsidRPr="008F5ECD" w:rsidRDefault="003015A3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(1.2)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รายได้ไม่คงที่ </w:t>
            </w:r>
          </w:p>
          <w:p w:rsidR="003015A3" w:rsidRPr="008F5ECD" w:rsidRDefault="003015A3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(1.2.1)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กรณีที่ได้รับเป็นรายเดือน เช่น ค่าล่วงเวลา ค่านายหน้า ค่าเบี้ยเลี้ยง เป็นต้น ให้ใช้รายได้เฉลี่ยย้อนหลังอย่างน้อย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3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เดือน </w:t>
            </w:r>
          </w:p>
          <w:p w:rsidR="003015A3" w:rsidRPr="008F5ECD" w:rsidRDefault="003015A3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(1.2.2)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กรณีที่ได้รับเป็นรายไตรมาส หรือ รายปี เช่น โบนัส ให้ใช้รายได้เฉลี่ยต่อเดือน</w:t>
            </w:r>
          </w:p>
          <w:p w:rsidR="003015A3" w:rsidRPr="00545D3B" w:rsidRDefault="003015A3" w:rsidP="003015A3">
            <w:pPr>
              <w:pStyle w:val="Title"/>
              <w:spacing w:line="360" w:lineRule="auto"/>
              <w:jc w:val="left"/>
              <w:rPr>
                <w:color w:val="FF0000"/>
                <w:sz w:val="20"/>
                <w:szCs w:val="20"/>
                <w:u w:val="none"/>
              </w:rPr>
            </w:pPr>
            <w:r w:rsidRPr="00545D3B">
              <w:rPr>
                <w:color w:val="FF0000"/>
                <w:sz w:val="20"/>
                <w:szCs w:val="20"/>
                <w:u w:val="none"/>
              </w:rPr>
              <w:t>(2) Self-employed</w:t>
            </w:r>
          </w:p>
          <w:p w:rsidR="003015A3" w:rsidRPr="008F5ECD" w:rsidRDefault="003015A3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ให้อ้างอิงประมาณการรายได้โดยนำปัจจัยเกี่ยวกับ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income margin (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ซึ่งหมายถึง ประมาณการสัดส่วนรายได้สุทธิต่อรายได้ของกิจการ) มาประกอบการพิจารณา ตามหลักการ ได้แก่</w:t>
            </w:r>
          </w:p>
          <w:p w:rsidR="003015A3" w:rsidRPr="008F5ECD" w:rsidRDefault="003015A3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(2.1)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วิธีการประเมินมีความน่าเชื่อถือ เช่น มีหลักฐานการประมาณการรายได้ที่ชัดเจน (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bank statement)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และ/หรือ มีการตรวจสอบ/ทดสอบความถูกต้องของการประมาณการได้อย่างน่าเชื่อถือ</w:t>
            </w:r>
          </w:p>
          <w:p w:rsidR="003015A3" w:rsidRPr="008F5ECD" w:rsidRDefault="003015A3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(2.2)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มีการคำนึงถึงผลด้านฤดูกาล (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seasonal effect)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เช่น ใช้ค่าเฉลี่ยย้อนหลังอย่างน้อย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6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เดือน</w:t>
            </w:r>
          </w:p>
          <w:p w:rsidR="00F254F4" w:rsidRDefault="003015A3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(2.3) </w:t>
            </w:r>
            <w:r w:rsidRPr="008F5ECD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มีการตัดรายการที่มิใช่รายได้ที่ได้รับสม่ำเสมอ หรือเป็นประจำ เช่น รายได้จากการถูกรางวัล การได้รับมรดก เป็นต้น</w:t>
            </w:r>
          </w:p>
          <w:p w:rsidR="00F254F4" w:rsidRDefault="00F254F4" w:rsidP="00F254F4">
            <w:pPr>
              <w:pStyle w:val="Header"/>
              <w:numPr>
                <w:ilvl w:val="0"/>
                <w:numId w:val="31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ind w:left="238" w:hanging="238"/>
              <w:rPr>
                <w:rFonts w:ascii="Tahoma" w:hAnsi="Tahoma"/>
                <w:sz w:val="20"/>
                <w:lang w:val="th-TH"/>
              </w:rPr>
            </w:pPr>
            <w:r w:rsidRPr="0049508E">
              <w:rPr>
                <w:rFonts w:ascii="Tahoma" w:hAnsi="Tahoma"/>
                <w:sz w:val="20"/>
                <w:cs/>
              </w:rPr>
              <w:t>กรณี</w:t>
            </w:r>
            <w:r w:rsidRPr="0049508E">
              <w:rPr>
                <w:rFonts w:ascii="Tahoma" w:hAnsi="Tahoma"/>
                <w:sz w:val="20"/>
                <w:cs/>
                <w:lang w:val="th-TH"/>
              </w:rPr>
              <w:t>ผู้กู้ใช้สวัสดิการพนักงานสถาบันการเงิน (</w:t>
            </w:r>
            <w:proofErr w:type="spellStart"/>
            <w:r w:rsidRPr="0049508E">
              <w:rPr>
                <w:rFonts w:ascii="Tahoma" w:hAnsi="Tahoma"/>
                <w:sz w:val="20"/>
                <w:cs/>
                <w:lang w:val="th-TH"/>
              </w:rPr>
              <w:t>Occupation</w:t>
            </w:r>
            <w:proofErr w:type="spellEnd"/>
            <w:r w:rsidRPr="0049508E">
              <w:rPr>
                <w:rFonts w:ascii="Tahoma" w:hAnsi="Tahoma"/>
                <w:sz w:val="20"/>
                <w:cs/>
                <w:lang w:val="th-TH"/>
              </w:rPr>
              <w:t xml:space="preserve"> </w:t>
            </w:r>
            <w:r w:rsidRPr="0049508E">
              <w:rPr>
                <w:rFonts w:ascii="Tahoma" w:hAnsi="Tahoma"/>
                <w:sz w:val="20"/>
              </w:rPr>
              <w:t>T</w:t>
            </w:r>
            <w:proofErr w:type="spellStart"/>
            <w:r w:rsidRPr="0049508E">
              <w:rPr>
                <w:rFonts w:ascii="Tahoma" w:hAnsi="Tahoma"/>
                <w:sz w:val="20"/>
                <w:cs/>
                <w:lang w:val="th-TH"/>
              </w:rPr>
              <w:t>ype</w:t>
            </w:r>
            <w:proofErr w:type="spellEnd"/>
            <w:r w:rsidRPr="0049508E">
              <w:rPr>
                <w:rFonts w:ascii="Tahoma" w:hAnsi="Tahoma"/>
                <w:sz w:val="20"/>
                <w:cs/>
                <w:lang w:val="th-TH"/>
              </w:rPr>
              <w:t xml:space="preserve"> = 4) ให้กรอกค่า 999 </w:t>
            </w:r>
          </w:p>
          <w:p w:rsidR="003015A3" w:rsidRPr="00F254F4" w:rsidRDefault="00F254F4" w:rsidP="00F254F4">
            <w:pPr>
              <w:pStyle w:val="Header"/>
              <w:numPr>
                <w:ilvl w:val="0"/>
                <w:numId w:val="31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ind w:left="238" w:hanging="238"/>
              <w:rPr>
                <w:rFonts w:ascii="Tahoma" w:hAnsi="Tahoma"/>
                <w:sz w:val="20"/>
                <w:lang w:val="th-TH"/>
              </w:rPr>
            </w:pPr>
            <w:r w:rsidRPr="00F254F4">
              <w:rPr>
                <w:rFonts w:ascii="Tahoma" w:hAnsi="Tahoma"/>
                <w:sz w:val="20"/>
                <w:cs/>
                <w:lang w:val="th-TH"/>
              </w:rPr>
              <w:lastRenderedPageBreak/>
              <w:t xml:space="preserve">กรณี วัตถุประสงค์หลักในการกู้เป็น </w:t>
            </w:r>
            <w:r w:rsidRPr="00F254F4">
              <w:rPr>
                <w:rFonts w:ascii="Tahoma" w:hAnsi="Tahoma"/>
                <w:sz w:val="20"/>
                <w:lang w:val="th-TH"/>
              </w:rPr>
              <w:t>“</w:t>
            </w:r>
            <w:r w:rsidRPr="00F254F4">
              <w:rPr>
                <w:rFonts w:ascii="Tahoma" w:hAnsi="Tahoma"/>
                <w:sz w:val="20"/>
                <w:cs/>
                <w:lang w:val="th-TH"/>
              </w:rPr>
              <w:t>สินเชื่อเพื่อผู้สูงอายุ</w:t>
            </w:r>
            <w:r w:rsidRPr="00F254F4">
              <w:rPr>
                <w:rFonts w:ascii="Tahoma" w:hAnsi="Tahoma"/>
                <w:sz w:val="20"/>
                <w:lang w:val="th-TH"/>
              </w:rPr>
              <w:t>” (Objective = 13)</w:t>
            </w:r>
            <w:r w:rsidRPr="00F254F4">
              <w:rPr>
                <w:rFonts w:ascii="Tahoma" w:hAnsi="Tahoma"/>
                <w:sz w:val="20"/>
                <w:cs/>
                <w:lang w:val="th-TH"/>
              </w:rPr>
              <w:t xml:space="preserve"> แล้ว </w:t>
            </w:r>
            <w:r w:rsidRPr="00F254F4">
              <w:rPr>
                <w:rFonts w:ascii="Tahoma" w:hAnsi="Tahoma"/>
                <w:sz w:val="20"/>
                <w:lang w:val="th-TH"/>
              </w:rPr>
              <w:t>Borrower's Income</w:t>
            </w:r>
            <w:r w:rsidRPr="00F254F4">
              <w:rPr>
                <w:rFonts w:ascii="Tahoma" w:hAnsi="Tahoma"/>
                <w:sz w:val="20"/>
                <w:cs/>
                <w:lang w:val="th-TH"/>
              </w:rPr>
              <w:t xml:space="preserve"> ต้องเป็นค่าว่าง”</w:t>
            </w:r>
          </w:p>
          <w:p w:rsidR="00F254F4" w:rsidRPr="00F254F4" w:rsidRDefault="00F254F4" w:rsidP="00F254F4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ind w:left="238"/>
              <w:rPr>
                <w:rFonts w:ascii="Tahoma" w:hAnsi="Tahoma" w:hint="cs"/>
                <w:sz w:val="20"/>
                <w:lang w:val="th-TH"/>
              </w:rPr>
            </w:pPr>
          </w:p>
          <w:p w:rsidR="003015A3" w:rsidRPr="0049508E" w:rsidRDefault="003015A3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9508E">
              <w:rPr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49508E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:rsidR="0049508E" w:rsidRPr="0049508E" w:rsidRDefault="00F17108" w:rsidP="0049508E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49508E">
              <w:rPr>
                <w:rFonts w:ascii="Tahoma" w:hAnsi="Tahoma"/>
                <w:color w:val="000000" w:themeColor="text1"/>
                <w:sz w:val="20"/>
                <w:cs/>
              </w:rPr>
              <w:t>“</w:t>
            </w:r>
            <w:r w:rsidR="0049508E" w:rsidRPr="0049508E">
              <w:rPr>
                <w:rFonts w:ascii="Tahoma" w:hAnsi="Tahoma"/>
                <w:color w:val="00B050"/>
                <w:sz w:val="20"/>
                <w:cs/>
                <w:lang w:val="th-TH"/>
              </w:rPr>
              <w:t>รายได้รวมของผู้กู้หลัก</w:t>
            </w:r>
            <w:r w:rsidR="0049508E" w:rsidRPr="0049508E">
              <w:rPr>
                <w:rFonts w:ascii="Tahoma" w:hAnsi="Tahoma"/>
                <w:color w:val="00B050"/>
                <w:sz w:val="20"/>
                <w:cs/>
              </w:rPr>
              <w:t>และผู้กู้ร่วม</w:t>
            </w:r>
            <w:r w:rsidR="0049508E" w:rsidRPr="0049508E">
              <w:rPr>
                <w:rFonts w:ascii="Tahoma" w:hAnsi="Tahoma"/>
                <w:color w:val="00B050"/>
                <w:sz w:val="20"/>
                <w:cs/>
                <w:lang w:val="th-TH"/>
              </w:rPr>
              <w:t xml:space="preserve"> </w:t>
            </w:r>
            <w:r w:rsidR="0049508E" w:rsidRPr="0049508E">
              <w:rPr>
                <w:rFonts w:ascii="Tahoma" w:hAnsi="Tahoma"/>
                <w:color w:val="00B050"/>
                <w:sz w:val="20"/>
                <w:cs/>
              </w:rPr>
              <w:t>(</w:t>
            </w:r>
            <w:r w:rsidR="0049508E" w:rsidRPr="0049508E">
              <w:rPr>
                <w:rFonts w:ascii="Tahoma" w:hAnsi="Tahoma"/>
                <w:color w:val="00B050"/>
                <w:sz w:val="20"/>
              </w:rPr>
              <w:t>gross income)</w:t>
            </w:r>
            <w:r w:rsidR="0049508E" w:rsidRPr="0049508E">
              <w:rPr>
                <w:rFonts w:ascii="Tahoma" w:hAnsi="Tahoma"/>
                <w:color w:val="00B050"/>
                <w:sz w:val="20"/>
                <w:cs/>
                <w:lang w:val="th-TH"/>
              </w:rPr>
              <w:t xml:space="preserve"> (หน่วย</w:t>
            </w:r>
            <w:r w:rsidR="0049508E" w:rsidRPr="0049508E">
              <w:rPr>
                <w:rFonts w:ascii="Tahoma" w:hAnsi="Tahoma"/>
                <w:color w:val="00B050"/>
                <w:sz w:val="20"/>
              </w:rPr>
              <w:t xml:space="preserve">: </w:t>
            </w:r>
            <w:r w:rsidR="0049508E" w:rsidRPr="0049508E">
              <w:rPr>
                <w:rFonts w:ascii="Tahoma" w:hAnsi="Tahoma"/>
                <w:color w:val="00B050"/>
                <w:sz w:val="20"/>
                <w:cs/>
                <w:lang w:val="th-TH"/>
              </w:rPr>
              <w:t xml:space="preserve">บาทต่อเดือน) </w:t>
            </w:r>
            <w:r w:rsidR="0049508E" w:rsidRPr="0049508E">
              <w:rPr>
                <w:rFonts w:ascii="Tahoma" w:hAnsi="Tahoma"/>
                <w:color w:val="00B050"/>
                <w:sz w:val="20"/>
                <w:cs/>
              </w:rPr>
              <w:t xml:space="preserve">การคำนวณรายได้ให้อ้างอิงตามสรุปมาตรฐานการคำนวณ </w:t>
            </w:r>
            <w:r w:rsidR="0049508E" w:rsidRPr="0049508E">
              <w:rPr>
                <w:rFonts w:ascii="Tahoma" w:hAnsi="Tahoma"/>
                <w:color w:val="00B050"/>
                <w:sz w:val="20"/>
              </w:rPr>
              <w:t>Debt Service Ratio</w:t>
            </w:r>
          </w:p>
          <w:p w:rsidR="0049508E" w:rsidRDefault="0049508E" w:rsidP="0049508E">
            <w:pPr>
              <w:pStyle w:val="Header"/>
              <w:numPr>
                <w:ilvl w:val="0"/>
                <w:numId w:val="31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ind w:left="238" w:hanging="238"/>
              <w:rPr>
                <w:rFonts w:ascii="Tahoma" w:hAnsi="Tahoma"/>
                <w:sz w:val="20"/>
                <w:cs/>
                <w:lang w:val="th-TH"/>
              </w:rPr>
            </w:pPr>
            <w:r w:rsidRPr="0049508E">
              <w:rPr>
                <w:rFonts w:ascii="Tahoma" w:hAnsi="Tahoma"/>
                <w:sz w:val="20"/>
                <w:cs/>
              </w:rPr>
              <w:t>กรณี</w:t>
            </w:r>
            <w:r w:rsidRPr="0049508E">
              <w:rPr>
                <w:rFonts w:ascii="Tahoma" w:hAnsi="Tahoma"/>
                <w:sz w:val="20"/>
                <w:cs/>
                <w:lang w:val="th-TH"/>
              </w:rPr>
              <w:t>ผู้กู้ใช้สวัสดิการพนักงานสถาบันการเงิน (</w:t>
            </w:r>
            <w:proofErr w:type="spellStart"/>
            <w:r w:rsidRPr="0049508E">
              <w:rPr>
                <w:rFonts w:ascii="Tahoma" w:hAnsi="Tahoma"/>
                <w:sz w:val="20"/>
                <w:cs/>
                <w:lang w:val="th-TH"/>
              </w:rPr>
              <w:t>Occupation</w:t>
            </w:r>
            <w:proofErr w:type="spellEnd"/>
            <w:r w:rsidRPr="0049508E">
              <w:rPr>
                <w:rFonts w:ascii="Tahoma" w:hAnsi="Tahoma"/>
                <w:sz w:val="20"/>
                <w:cs/>
                <w:lang w:val="th-TH"/>
              </w:rPr>
              <w:t xml:space="preserve"> </w:t>
            </w:r>
            <w:r w:rsidRPr="0049508E">
              <w:rPr>
                <w:rFonts w:ascii="Tahoma" w:hAnsi="Tahoma"/>
                <w:sz w:val="20"/>
              </w:rPr>
              <w:t>T</w:t>
            </w:r>
            <w:proofErr w:type="spellStart"/>
            <w:r w:rsidRPr="0049508E">
              <w:rPr>
                <w:rFonts w:ascii="Tahoma" w:hAnsi="Tahoma"/>
                <w:sz w:val="20"/>
                <w:cs/>
                <w:lang w:val="th-TH"/>
              </w:rPr>
              <w:t>ype</w:t>
            </w:r>
            <w:proofErr w:type="spellEnd"/>
            <w:r w:rsidRPr="0049508E">
              <w:rPr>
                <w:rFonts w:ascii="Tahoma" w:hAnsi="Tahoma"/>
                <w:sz w:val="20"/>
                <w:cs/>
                <w:lang w:val="th-TH"/>
              </w:rPr>
              <w:t xml:space="preserve"> = 4) ให้กรอกค่า 999 </w:t>
            </w:r>
          </w:p>
          <w:p w:rsidR="003015A3" w:rsidRPr="0049508E" w:rsidRDefault="0049508E" w:rsidP="0049508E">
            <w:pPr>
              <w:pStyle w:val="Header"/>
              <w:numPr>
                <w:ilvl w:val="0"/>
                <w:numId w:val="31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ind w:left="238" w:hanging="238"/>
              <w:rPr>
                <w:rFonts w:ascii="Tahoma" w:hAnsi="Tahoma"/>
                <w:sz w:val="20"/>
                <w:cs/>
                <w:lang w:val="th-TH"/>
              </w:rPr>
            </w:pPr>
            <w:r w:rsidRPr="0049508E">
              <w:rPr>
                <w:rFonts w:ascii="Tahoma" w:hAnsi="Tahoma"/>
                <w:sz w:val="20"/>
                <w:cs/>
              </w:rPr>
              <w:t xml:space="preserve">กรณี วัตถุประสงค์หลักในการกู้เป็น </w:t>
            </w:r>
            <w:r w:rsidRPr="0049508E">
              <w:rPr>
                <w:rFonts w:ascii="Tahoma" w:hAnsi="Tahoma"/>
                <w:sz w:val="20"/>
              </w:rPr>
              <w:t>“</w:t>
            </w:r>
            <w:r w:rsidRPr="0049508E">
              <w:rPr>
                <w:rFonts w:ascii="Tahoma" w:hAnsi="Tahoma"/>
                <w:sz w:val="20"/>
                <w:cs/>
              </w:rPr>
              <w:t>สินเชื่อเพื่อผู้สูงอายุ</w:t>
            </w:r>
            <w:r w:rsidRPr="0049508E">
              <w:rPr>
                <w:rFonts w:ascii="Tahoma" w:hAnsi="Tahoma"/>
                <w:sz w:val="20"/>
              </w:rPr>
              <w:t>” (Objective = 13)</w:t>
            </w:r>
            <w:r w:rsidRPr="0049508E">
              <w:rPr>
                <w:rFonts w:ascii="Tahoma" w:hAnsi="Tahoma"/>
                <w:sz w:val="20"/>
                <w:cs/>
              </w:rPr>
              <w:t xml:space="preserve"> แล้ว </w:t>
            </w:r>
            <w:r w:rsidRPr="0049508E">
              <w:rPr>
                <w:rFonts w:ascii="Tahoma" w:hAnsi="Tahoma"/>
                <w:sz w:val="20"/>
              </w:rPr>
              <w:t>Borrower's Income</w:t>
            </w:r>
            <w:r w:rsidRPr="0049508E">
              <w:rPr>
                <w:rFonts w:ascii="Tahoma" w:hAnsi="Tahoma"/>
                <w:sz w:val="20"/>
                <w:cs/>
              </w:rPr>
              <w:t xml:space="preserve"> ต้องเป็นค่าว่าง</w:t>
            </w:r>
            <w:r w:rsidR="00F17108" w:rsidRPr="0049508E">
              <w:rPr>
                <w:rFonts w:ascii="Tahoma" w:hAnsi="Tahoma"/>
                <w:color w:val="000000" w:themeColor="text1"/>
                <w:sz w:val="20"/>
                <w:cs/>
              </w:rPr>
              <w:t>”</w:t>
            </w:r>
          </w:p>
        </w:tc>
      </w:tr>
      <w:tr w:rsidR="003015A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3015A3" w:rsidRPr="00A94B6A" w:rsidRDefault="003015A3" w:rsidP="003015A3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3015A3" w:rsidRDefault="003015A3" w:rsidP="00B705F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B705FB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-1</w:t>
            </w:r>
            <w:r w:rsidR="00B705FB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1305" w:type="dxa"/>
          </w:tcPr>
          <w:p w:rsidR="003015A3" w:rsidRDefault="003015A3" w:rsidP="003015A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3015A3" w:rsidRPr="00EF0BF7" w:rsidRDefault="003015A3" w:rsidP="003015A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E4987">
              <w:rPr>
                <w:b w:val="0"/>
                <w:bCs w:val="0"/>
                <w:sz w:val="20"/>
                <w:szCs w:val="20"/>
                <w:u w:val="none"/>
              </w:rPr>
              <w:t>Other Debt Burden (Baht)</w:t>
            </w:r>
          </w:p>
        </w:tc>
        <w:tc>
          <w:tcPr>
            <w:tcW w:w="9815" w:type="dxa"/>
          </w:tcPr>
          <w:p w:rsidR="003015A3" w:rsidRPr="00FE668A" w:rsidRDefault="003015A3" w:rsidP="003015A3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FE668A">
              <w:rPr>
                <w:sz w:val="20"/>
                <w:szCs w:val="20"/>
                <w:cs/>
              </w:rPr>
              <w:t>คำอธิบาย</w:t>
            </w:r>
          </w:p>
          <w:p w:rsidR="003015A3" w:rsidRPr="00FE668A" w:rsidRDefault="003015A3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E668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:rsidR="003015A3" w:rsidRPr="00FE668A" w:rsidRDefault="003015A3" w:rsidP="003015A3">
            <w:pPr>
              <w:spacing w:line="360" w:lineRule="auto"/>
              <w:rPr>
                <w:rFonts w:ascii="Tahoma" w:hAnsi="Tahoma"/>
                <w:color w:val="FF0000"/>
                <w:sz w:val="20"/>
              </w:rPr>
            </w:pPr>
            <w:r w:rsidRPr="00FE668A">
              <w:rPr>
                <w:rFonts w:ascii="Tahoma" w:hAnsi="Tahoma"/>
                <w:b/>
                <w:bCs/>
                <w:sz w:val="20"/>
              </w:rPr>
              <w:t xml:space="preserve"> “</w:t>
            </w:r>
            <w:r w:rsidRPr="00FE668A">
              <w:rPr>
                <w:rFonts w:ascii="Tahoma" w:hAnsi="Tahoma"/>
                <w:color w:val="FF0000"/>
                <w:sz w:val="20"/>
                <w:cs/>
              </w:rPr>
              <w:t>ภาระหนี้ที่ลูกค้าต้องผ่อนชำระต่อเดือนที่มีอยู่เดิมก่อนการขอสินเชื่อในครั้งนี้ (หน่วย: บาท)</w:t>
            </w:r>
            <w:r>
              <w:rPr>
                <w:rFonts w:ascii="Tahoma" w:hAnsi="Tahoma" w:hint="cs"/>
                <w:color w:val="FF0000"/>
                <w:sz w:val="20"/>
                <w:cs/>
              </w:rPr>
              <w:t xml:space="preserve"> </w:t>
            </w:r>
            <w:r w:rsidRPr="00FE668A">
              <w:rPr>
                <w:rFonts w:ascii="Tahoma" w:hAnsi="Tahoma"/>
                <w:color w:val="FF0000"/>
                <w:sz w:val="20"/>
                <w:cs/>
              </w:rPr>
              <w:t>โดยรวมสินเชื่อทุกประเภท (สินเชื่อเพื่อการอุปโภคบริโภค และสินเชื่อเพื่อการประกอบธุรกิจ / อาชีพ) จากสถาบันการเงินและผู้ให้บริการสินเชื่ออื่นทุกประเภท (เช่น ผู้ปร</w:t>
            </w:r>
            <w:bookmarkStart w:id="0" w:name="_GoBack"/>
            <w:bookmarkEnd w:id="0"/>
            <w:r w:rsidRPr="00FE668A">
              <w:rPr>
                <w:rFonts w:ascii="Tahoma" w:hAnsi="Tahoma"/>
                <w:color w:val="FF0000"/>
                <w:sz w:val="20"/>
                <w:cs/>
              </w:rPr>
              <w:t xml:space="preserve">ะกอบธุรกิจบัตรเครดิต ผู้ประกอบธุรกิจสินเชื่อส่วนบุคคลภายใต้การกำกับ สหกรณ์ออมทรัพย์) โดยอ้างอิงข้อมูลจาก </w:t>
            </w:r>
            <w:r w:rsidRPr="00FE668A">
              <w:rPr>
                <w:rFonts w:ascii="Tahoma" w:hAnsi="Tahoma"/>
                <w:color w:val="FF0000"/>
                <w:sz w:val="20"/>
              </w:rPr>
              <w:t xml:space="preserve">NCB </w:t>
            </w:r>
            <w:r w:rsidRPr="00FE668A">
              <w:rPr>
                <w:rFonts w:ascii="Tahoma" w:hAnsi="Tahoma"/>
                <w:color w:val="FF0000"/>
                <w:sz w:val="20"/>
                <w:cs/>
              </w:rPr>
              <w:t xml:space="preserve">และพิจารณาใช้ข้อมูลจากแหล่งอื่นประกอบตามหลักการ </w:t>
            </w:r>
            <w:r w:rsidRPr="00FE668A">
              <w:rPr>
                <w:rFonts w:ascii="Tahoma" w:hAnsi="Tahoma"/>
                <w:color w:val="FF0000"/>
                <w:sz w:val="20"/>
              </w:rPr>
              <w:t xml:space="preserve">Best effort </w:t>
            </w:r>
            <w:r w:rsidRPr="00FE668A">
              <w:rPr>
                <w:rFonts w:ascii="Tahoma" w:hAnsi="Tahoma"/>
                <w:color w:val="FF0000"/>
                <w:sz w:val="20"/>
                <w:cs/>
              </w:rPr>
              <w:t xml:space="preserve">เช่น จาก </w:t>
            </w:r>
            <w:r w:rsidRPr="00FE668A">
              <w:rPr>
                <w:rFonts w:ascii="Tahoma" w:hAnsi="Tahoma"/>
                <w:color w:val="FF0000"/>
                <w:sz w:val="20"/>
              </w:rPr>
              <w:t xml:space="preserve">slip </w:t>
            </w:r>
            <w:r w:rsidRPr="00FE668A">
              <w:rPr>
                <w:rFonts w:ascii="Tahoma" w:hAnsi="Tahoma"/>
                <w:color w:val="FF0000"/>
                <w:sz w:val="20"/>
                <w:cs/>
              </w:rPr>
              <w:t xml:space="preserve">เงินเดือน จากการสอบถามลูกค้าเพิ่มเติม จากการประมาณการที่สมเหตุสมผล เป็นต้น </w:t>
            </w:r>
          </w:p>
          <w:p w:rsidR="003015A3" w:rsidRPr="00FE668A" w:rsidRDefault="003015A3" w:rsidP="003015A3">
            <w:pPr>
              <w:spacing w:line="360" w:lineRule="auto"/>
              <w:rPr>
                <w:rFonts w:ascii="Tahoma" w:hAnsi="Tahoma"/>
                <w:color w:val="FF0000"/>
                <w:sz w:val="20"/>
              </w:rPr>
            </w:pPr>
            <w:r w:rsidRPr="00FE668A">
              <w:rPr>
                <w:rFonts w:ascii="Tahoma" w:hAnsi="Tahoma"/>
                <w:color w:val="FF0000"/>
                <w:sz w:val="20"/>
                <w:cs/>
              </w:rPr>
              <w:t>ทั้งนี้ ไม่รวมภาระหนี้ที่มีอายุสินเชื่อคงเหลือน้อยกว่า 3 เดือน และในการคำนวณภาระหนี้กรณีการกู้ร่วม ให้ใช้ภาระหนี้หารด้วยจำนวนผู้กู้ร่วม</w:t>
            </w:r>
            <w:r w:rsidRPr="00FE668A">
              <w:rPr>
                <w:rFonts w:ascii="Tahoma" w:hAnsi="Tahoma"/>
                <w:color w:val="FF0000"/>
                <w:sz w:val="20"/>
              </w:rPr>
              <w:t xml:space="preserve"> </w:t>
            </w:r>
          </w:p>
          <w:p w:rsidR="003015A3" w:rsidRPr="00FE668A" w:rsidRDefault="003015A3" w:rsidP="003015A3">
            <w:pPr>
              <w:spacing w:line="360" w:lineRule="auto"/>
              <w:rPr>
                <w:rFonts w:ascii="Tahoma" w:hAnsi="Tahoma"/>
                <w:b/>
                <w:bCs/>
                <w:color w:val="FF0000"/>
                <w:sz w:val="20"/>
              </w:rPr>
            </w:pPr>
            <w:r w:rsidRPr="00FE668A">
              <w:rPr>
                <w:rFonts w:ascii="Tahoma" w:hAnsi="Tahoma"/>
                <w:b/>
                <w:bCs/>
                <w:color w:val="FF0000"/>
                <w:sz w:val="20"/>
                <w:u w:val="single"/>
                <w:cs/>
              </w:rPr>
              <w:t>แนวทางในการคำนวณสำหรับหนี้แต่ละประเภท</w:t>
            </w:r>
          </w:p>
          <w:p w:rsidR="003015A3" w:rsidRPr="00FE668A" w:rsidRDefault="003015A3" w:rsidP="003015A3">
            <w:pPr>
              <w:pStyle w:val="ListParagraph"/>
              <w:numPr>
                <w:ilvl w:val="0"/>
                <w:numId w:val="28"/>
              </w:numPr>
              <w:spacing w:line="360" w:lineRule="auto"/>
              <w:ind w:left="518" w:hanging="446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สินเชื่ออุปโภคบริโภค</w:t>
            </w:r>
          </w:p>
          <w:p w:rsidR="003015A3" w:rsidRPr="00FE668A" w:rsidRDefault="003015A3" w:rsidP="003015A3">
            <w:pPr>
              <w:pStyle w:val="ListParagraph"/>
              <w:numPr>
                <w:ilvl w:val="1"/>
                <w:numId w:val="29"/>
              </w:numPr>
              <w:spacing w:line="360" w:lineRule="auto"/>
              <w:ind w:left="1048" w:hanging="45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หนี้ประเภทที่มีค่างวดชัดเจน (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Non-revolving)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ได้แก่ สินเชื่อ</w:t>
            </w:r>
          </w:p>
          <w:p w:rsidR="003015A3" w:rsidRPr="00FE668A" w:rsidRDefault="003015A3" w:rsidP="003015A3">
            <w:pPr>
              <w:spacing w:line="360" w:lineRule="auto"/>
              <w:ind w:left="598"/>
              <w:rPr>
                <w:rFonts w:ascii="Tahoma" w:hAnsi="Tahoma"/>
                <w:color w:val="FF0000"/>
                <w:sz w:val="20"/>
              </w:rPr>
            </w:pPr>
            <w:r w:rsidRPr="00FE668A">
              <w:rPr>
                <w:rFonts w:ascii="Tahoma" w:hAnsi="Tahoma"/>
                <w:color w:val="FF0000"/>
                <w:sz w:val="20"/>
                <w:cs/>
              </w:rPr>
              <w:lastRenderedPageBreak/>
              <w:t xml:space="preserve">บ้าน สินเชื่อรถยนต์ โดยให้ใช้ภาระหนี้ที่ต้องชำระต่อเดือนงวดล่าสุด </w:t>
            </w: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(1.2)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  <w:lang w:val="th-TH"/>
              </w:rPr>
              <w:t>หนี้ประเภทหมุนเวียน (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Revolving)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ได้แก่ สินเชื่อบัตรเครดิต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73570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สินเชื่อส่วนบุคคลที่อยู่ภายใต้การกำกับ และที่ไม่ได้อยู่ภายใต้การกำกับ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สินเชื่อ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O/D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ที่มิใช่เพื่อประกอบธุรกิจ</w:t>
            </w: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(1.2.1) บัตรเครดิต ให้ใช้ 10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% x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ยอดคงค้างงวดล่าสุด เว้นแต่พิสูจน์ได้ว่า</w:t>
            </w:r>
            <w:r w:rsidRPr="00A55C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มีการชำระยอดใช้จ่ายบัตรเครดิตเต็มจำนวนอย่างสม่ำเสมอ (</w:t>
            </w:r>
            <w:r w:rsidRPr="00A55CA7">
              <w:rPr>
                <w:rFonts w:ascii="Tahoma" w:hAnsi="Tahoma" w:cs="Tahoma"/>
                <w:color w:val="FF0000"/>
                <w:sz w:val="20"/>
                <w:szCs w:val="20"/>
              </w:rPr>
              <w:t>Transactor)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(1.2.2) </w:t>
            </w:r>
            <w:r w:rsidRPr="0073570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สินเชื่อส่วนบุคคลที่อยู่ภายใต้การกำกับ และที่ไม่ได้อยู่ภายใต้การกำกับ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ให้ใช้ 5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% x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ยอดคงค้างงวดล่าสุด</w:t>
            </w: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(1.2.3)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O/D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ที่มิใช่เพื่อประกอบธุรกิจ ให้ใช้ อัตราดอกเบี้ยต่อเดือน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x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ยอดคงค้างงวดล่าสุด</w:t>
            </w:r>
          </w:p>
          <w:p w:rsidR="003015A3" w:rsidRPr="00FE668A" w:rsidRDefault="003015A3" w:rsidP="003015A3">
            <w:pPr>
              <w:pStyle w:val="ListParagraph"/>
              <w:numPr>
                <w:ilvl w:val="0"/>
                <w:numId w:val="28"/>
              </w:numPr>
              <w:spacing w:line="360" w:lineRule="auto"/>
              <w:ind w:left="590" w:hanging="446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สินเชื่อเพื่อประกอบธุรกิจ</w:t>
            </w:r>
            <w:r w:rsidRPr="00FE668A"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(2.1)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หนี้ประเภทที่มีค่างวดชัดเจน (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>Non-revolving)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ให้ใช้วิธีใดวิธีหนึ่งดังต่อไปนี้</w:t>
            </w: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(2.1.1) ภาระหนี้ที่ต้องชำระต่อเดือนงวดล่าสุด </w:t>
            </w: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(2.1.2) ประมาณการภาระหนี้ที่คาดว่าลูกค้าผ่อนชำระต่อเดือนด้วยวิธีการคิดลดหามูลค่าปัจจุบัน (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>PMT)</w:t>
            </w: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(2.1.3)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ผสมระหว่างวิธี (2.1.1) และ (2.1.2) </w:t>
            </w: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(2.2)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  <w:lang w:val="th-TH"/>
              </w:rPr>
              <w:t>หนี้ประเภทหมุนเวียน (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Revolving) </w:t>
            </w:r>
            <w:r w:rsidRPr="00FE668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ให้ประมาณการภาระหนี้ที่คาดว่าลูกค้าผ่อนชำระต่อเดือนด้วยวิธีใดวิธีหนึ่ง ดังต่อไปนี้</w:t>
            </w: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color w:val="FF0000"/>
                <w:sz w:val="20"/>
                <w:szCs w:val="20"/>
              </w:rPr>
              <w:t xml:space="preserve">(2.2.1) </w:t>
            </w: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b/>
                <w:bCs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4F0CE0DB" wp14:editId="3C1AFFDC">
                  <wp:simplePos x="0" y="0"/>
                  <wp:positionH relativeFrom="column">
                    <wp:posOffset>561975</wp:posOffset>
                  </wp:positionH>
                  <wp:positionV relativeFrom="paragraph">
                    <wp:posOffset>29210</wp:posOffset>
                  </wp:positionV>
                  <wp:extent cx="1370330" cy="812165"/>
                  <wp:effectExtent l="0" t="0" r="1270" b="0"/>
                  <wp:wrapNone/>
                  <wp:docPr id="15" name="t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330" cy="81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E668A">
              <w:rPr>
                <w:rFonts w:ascii="Tahoma" w:hAnsi="Tahoma" w:cs="Tahoma"/>
                <w:b/>
                <w:bCs/>
                <w:noProof/>
                <w:color w:val="FF0000"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 wp14:anchorId="72D66DA4" wp14:editId="27391ACD">
                  <wp:simplePos x="0" y="0"/>
                  <wp:positionH relativeFrom="column">
                    <wp:posOffset>2491740</wp:posOffset>
                  </wp:positionH>
                  <wp:positionV relativeFrom="paragraph">
                    <wp:posOffset>30480</wp:posOffset>
                  </wp:positionV>
                  <wp:extent cx="1517650" cy="796925"/>
                  <wp:effectExtent l="0" t="0" r="6350" b="0"/>
                  <wp:wrapNone/>
                  <wp:docPr id="16" name="t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50" cy="79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FE668A">
              <w:rPr>
                <w:rFonts w:ascii="Tahoma" w:hAnsi="Tahoma" w:cs="Tahoma"/>
                <w:b/>
                <w:bCs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4C5E571" wp14:editId="46FFF804">
                      <wp:simplePos x="0" y="0"/>
                      <wp:positionH relativeFrom="column">
                        <wp:posOffset>2117090</wp:posOffset>
                      </wp:positionH>
                      <wp:positionV relativeFrom="paragraph">
                        <wp:posOffset>56515</wp:posOffset>
                      </wp:positionV>
                      <wp:extent cx="216535" cy="210820"/>
                      <wp:effectExtent l="0" t="0" r="0" b="0"/>
                      <wp:wrapNone/>
                      <wp:docPr id="14" name="Multiply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535" cy="210820"/>
                              </a:xfrm>
                              <a:prstGeom prst="mathMultiply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D97ACD" id="Multiply 13" o:spid="_x0000_s1026" style="position:absolute;margin-left:166.7pt;margin-top:4.45pt;width:17.05pt;height:16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535,210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luQDwIAAJ4EAAAOAAAAZHJzL2Uyb0RvYy54bWysVMtu2zAQvBfoPxC815KcOA0EyzkkcC9N&#10;GzTtB9DU0iLAF0j69fddkrKSOEUPRXWgSHFnZnfI1fLuqBXZgw/Smo42s5oSMNz20mw7+uvn+tMt&#10;JSEy0zNlDXT0BIHerT5+WB5cC3M7WNWDJ0hiQntwHR1idG1VBT6AZmFmHRjcFNZrFnHpt1Xv2QHZ&#10;tarmdX1THazvnbccQsCvD2WTrjK/EMDjdyECRKI6irnFPPo8btJYrZas3XrmBsnHNNg/ZKGZNCg6&#10;UT2wyMjOy3dUWnJvgxVxxq2urBCSQ64Bq2nqi2qeB+Yg14LmBDfZFP4fLf+2f/JE9nh215QYpvGM&#10;HncqSqdOpLlK/hxcaDHs2T35cRVwmoo9Cq/TG8sgx+zpafIUjpFw/DhvbhZXC0o4bs2b+naePa9e&#10;wM6H+AWsJmnSUTzn4ZxAdpTtv4aIwgg5hybNYJXs11KpvPDbzb3yZM/wmNfrGp+UOULehCnzHpku&#10;GkxYxjmYeJ2F1U4/2r5wfl68ojxDLgVQLilUybBiUZ7Fk4Kkq8wPEGh1MiUL5Et+qd2UrYH1UKST&#10;8lTNG+lMmJgF2jBxjwTnyEJS6mpGU8b4BIXcIxO4/ltixdEJkZWtiRNYS2P9nwhUnJRL/NmkYk1y&#10;aWP7E15EH9W9La3KDB8sdiqPPqedorAJsuljw6Yue73OtC+/ldVvAAAA//8DAFBLAwQUAAYACAAA&#10;ACEA48ZL+uEAAAAIAQAADwAAAGRycy9kb3ducmV2LnhtbEyPzU7DMBCE70i8g7VIXBB12oT+hGwq&#10;KEKq4NSCxNWJlyTCXofYbQNPjznBcTSjmW+K9WiNONLgO8cI00kCgrh2uuMG4fXl8XoJwgfFWhnH&#10;hPBFHtbl+Vmhcu1OvKPjPjQilrDPFUIbQp9L6euWrPIT1xNH790NVoUoh0bqQZ1iuTVyliRzaVXH&#10;caFVPW1aqj/2B4uQfC/MJr0yb9X2M3uqs+f71cN2h3h5Md7dggg0hr8w/OJHdCgjU+UOrL0wCGma&#10;ZjGKsFyBiH46X9yAqBCy2RRkWcj/B8ofAAAA//8DAFBLAQItABQABgAIAAAAIQC2gziS/gAAAOEB&#10;AAATAAAAAAAAAAAAAAAAAAAAAABbQ29udGVudF9UeXBlc10ueG1sUEsBAi0AFAAGAAgAAAAhADj9&#10;If/WAAAAlAEAAAsAAAAAAAAAAAAAAAAALwEAAF9yZWxzLy5yZWxzUEsBAi0AFAAGAAgAAAAhADFi&#10;W5APAgAAngQAAA4AAAAAAAAAAAAAAAAALgIAAGRycy9lMm9Eb2MueG1sUEsBAi0AFAAGAAgAAAAh&#10;AOPGS/rhAAAACAEAAA8AAAAAAAAAAAAAAAAAaQQAAGRycy9kb3ducmV2LnhtbFBLBQYAAAAABAAE&#10;APMAAAB3BQAAAAA=&#10;" path="m34711,68397l69301,32870r38967,37938l147234,32870r34590,35527l143808,105410r38016,37013l147234,177950,108268,140012,69301,177950,34711,142423,72727,105410,34711,68397xe" fillcolor="red" strokecolor="#bf8f00 [2407]" strokeweight="1pt">
                      <v:stroke joinstyle="miter"/>
                      <v:path arrowok="t" o:connecttype="custom" o:connectlocs="34711,68397;69301,32870;108268,70808;147234,32870;181824,68397;143808,105410;181824,142423;147234,177950;108268,140012;69301,177950;34711,142423;72727,105410;34711,68397" o:connectangles="0,0,0,0,0,0,0,0,0,0,0,0,0"/>
                    </v:shape>
                  </w:pict>
                </mc:Fallback>
              </mc:AlternateContent>
            </w: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:rsidR="003015A3" w:rsidRPr="00FE668A" w:rsidRDefault="003015A3" w:rsidP="003015A3">
            <w:pPr>
              <w:pStyle w:val="ListParagraph"/>
              <w:spacing w:line="360" w:lineRule="auto"/>
              <w:ind w:left="590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:rsidR="003015A3" w:rsidRDefault="003015A3" w:rsidP="003015A3">
            <w:pPr>
              <w:pStyle w:val="Title"/>
              <w:spacing w:line="360" w:lineRule="auto"/>
              <w:ind w:left="60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E66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(2.2.2) </w:t>
            </w:r>
            <w:r w:rsidRPr="00FE668A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ประมาณการภาระหนี้ที่คาดว่าลูกค้าผ่อนชำระต่อเดือนด้วยวิธีการคิดลดหามูลค่าปัจจุบัน (</w:t>
            </w:r>
            <w:r w:rsidRPr="00FE668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PMT)</w:t>
            </w:r>
            <w:r w:rsidRPr="00FE668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F254F4" w:rsidRDefault="00F254F4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:rsidR="003015A3" w:rsidRDefault="003015A3" w:rsidP="003015A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เป็น</w:t>
            </w:r>
          </w:p>
          <w:p w:rsidR="009534DB" w:rsidRPr="009534DB" w:rsidRDefault="009534DB" w:rsidP="009534DB">
            <w:pPr>
              <w:spacing w:before="120" w:line="360" w:lineRule="auto"/>
              <w:rPr>
                <w:rFonts w:ascii="Tahoma" w:hAnsi="Tahoma"/>
                <w:color w:val="FF0000"/>
                <w:sz w:val="20"/>
              </w:rPr>
            </w:pPr>
            <w:r w:rsidRPr="009534DB">
              <w:rPr>
                <w:rFonts w:ascii="Tahoma" w:hAnsi="Tahoma"/>
                <w:sz w:val="20"/>
              </w:rPr>
              <w:t>“</w:t>
            </w:r>
            <w:r w:rsidRPr="009534DB">
              <w:rPr>
                <w:rFonts w:ascii="Tahoma" w:hAnsi="Tahoma"/>
                <w:color w:val="FF0000"/>
                <w:sz w:val="20"/>
                <w:cs/>
              </w:rPr>
              <w:t xml:space="preserve">ภาระหนี้ที่ลูกค้าต้องผ่อนชำระต่อเดือนที่มีอยู่เดิมก่อนการขอสินเชื่อในครั้งนี้ (หน่วย: บาท)  โดยรวมสินเชื่อทุกประเภท (สินเชื่อเพื่อการอุปโภคบริโภค และสินเชื่อเพื่อการประกอบธุรกิจ / อาชีพ) จากสถาบันการเงินและผู้ให้บริการสินเชื่ออื่นทุกประเภท (เช่น ผู้ประกอบธุรกิจบัตรเครดิต ผู้ประกอบธุรกิจสินเชื่อส่วนบุคคลภายใต้การกำกับ สหกรณ์ออมทรัพย์) โดยอ้างอิงข้อมูลจาก </w:t>
            </w:r>
            <w:r w:rsidRPr="009534DB">
              <w:rPr>
                <w:rFonts w:ascii="Tahoma" w:hAnsi="Tahoma"/>
                <w:color w:val="FF0000"/>
                <w:sz w:val="20"/>
              </w:rPr>
              <w:t xml:space="preserve">NCB </w:t>
            </w:r>
            <w:r w:rsidRPr="009534DB">
              <w:rPr>
                <w:rFonts w:ascii="Tahoma" w:hAnsi="Tahoma"/>
                <w:color w:val="FF0000"/>
                <w:sz w:val="20"/>
                <w:cs/>
              </w:rPr>
              <w:t xml:space="preserve">และพิจารณาใช้ข้อมูลจากแหล่งอื่นประกอบตามหลักการ </w:t>
            </w:r>
            <w:r w:rsidRPr="009534DB">
              <w:rPr>
                <w:rFonts w:ascii="Tahoma" w:hAnsi="Tahoma"/>
                <w:color w:val="FF0000"/>
                <w:sz w:val="20"/>
              </w:rPr>
              <w:t xml:space="preserve">Best effort </w:t>
            </w:r>
            <w:r w:rsidRPr="009534DB">
              <w:rPr>
                <w:rFonts w:ascii="Tahoma" w:hAnsi="Tahoma"/>
                <w:color w:val="FF0000"/>
                <w:sz w:val="20"/>
                <w:cs/>
              </w:rPr>
              <w:t xml:space="preserve">เช่น จาก </w:t>
            </w:r>
            <w:r w:rsidRPr="009534DB">
              <w:rPr>
                <w:rFonts w:ascii="Tahoma" w:hAnsi="Tahoma"/>
                <w:color w:val="FF0000"/>
                <w:sz w:val="20"/>
              </w:rPr>
              <w:t xml:space="preserve">slip </w:t>
            </w:r>
            <w:r w:rsidRPr="009534DB">
              <w:rPr>
                <w:rFonts w:ascii="Tahoma" w:hAnsi="Tahoma"/>
                <w:color w:val="FF0000"/>
                <w:sz w:val="20"/>
                <w:cs/>
              </w:rPr>
              <w:t xml:space="preserve">เงินเดือน จากการสอบถามลูกค้าเพิ่มเติม จากการประมาณการที่สมเหตุสมผล เป็นต้น </w:t>
            </w:r>
          </w:p>
          <w:p w:rsidR="003015A3" w:rsidRPr="009534DB" w:rsidRDefault="009534DB" w:rsidP="009534DB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534DB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ทั้งนี้ ไม่รวมภาระหนี้ที่มีอายุสินเชื่อคงเหลือน้อยกว่า 3 เดือน และในการคำนวณภาระหนี้ </w:t>
            </w:r>
            <w:r w:rsidRPr="009534DB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ให้อ้างอิงตามสรุปมาตรฐานการคำนวณ </w:t>
            </w:r>
            <w:r w:rsidRPr="009534D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Debt Service Ratio</w:t>
            </w:r>
            <w:r w:rsidRPr="009534DB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</w:tbl>
    <w:p w:rsidR="006C3EDB" w:rsidRPr="00321D56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321D56" w:rsidSect="00FD63B4">
      <w:headerReference w:type="default" r:id="rId14"/>
      <w:footerReference w:type="default" r:id="rId15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30A" w:rsidRDefault="0025330A">
      <w:r>
        <w:separator/>
      </w:r>
    </w:p>
  </w:endnote>
  <w:endnote w:type="continuationSeparator" w:id="0">
    <w:p w:rsidR="0025330A" w:rsidRDefault="0025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8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8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B705F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B705F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4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EF0BF7">
      <w:rPr>
        <w:rFonts w:ascii="Tahoma" w:hAnsi="Tahoma"/>
        <w:sz w:val="20"/>
      </w:rPr>
      <w:t>MGL</w:t>
    </w:r>
    <w:r w:rsidR="00A94B6A">
      <w:rPr>
        <w:rFonts w:ascii="Tahoma" w:hAnsi="Tahoma"/>
        <w:sz w:val="20"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3015A3" w:rsidRPr="003015A3">
      <w:rPr>
        <w:rFonts w:ascii="Tahoma" w:hAnsi="Tahoma"/>
        <w:sz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30A" w:rsidRDefault="0025330A">
      <w:r>
        <w:separator/>
      </w:r>
    </w:p>
  </w:footnote>
  <w:footnote w:type="continuationSeparator" w:id="0">
    <w:p w:rsidR="0025330A" w:rsidRDefault="00253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2F34"/>
    <w:multiLevelType w:val="hybridMultilevel"/>
    <w:tmpl w:val="CB5E8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73C6"/>
    <w:multiLevelType w:val="multilevel"/>
    <w:tmpl w:val="A90E054C"/>
    <w:lvl w:ilvl="0">
      <w:start w:val="1"/>
      <w:numFmt w:val="decimal"/>
      <w:lvlText w:val="(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31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80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39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593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6880" w:hanging="2160"/>
      </w:pPr>
      <w:rPr>
        <w:rFonts w:hint="default"/>
      </w:rPr>
    </w:lvl>
  </w:abstractNum>
  <w:abstractNum w:abstractNumId="3" w15:restartNumberingAfterBreak="0">
    <w:nsid w:val="02355B43"/>
    <w:multiLevelType w:val="hybridMultilevel"/>
    <w:tmpl w:val="AE4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80AD3"/>
    <w:multiLevelType w:val="hybridMultilevel"/>
    <w:tmpl w:val="F2069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30418D"/>
    <w:multiLevelType w:val="hybridMultilevel"/>
    <w:tmpl w:val="06D0C2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3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4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FD5C5D"/>
    <w:multiLevelType w:val="hybridMultilevel"/>
    <w:tmpl w:val="D4F0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1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64B1C4B"/>
    <w:multiLevelType w:val="hybridMultilevel"/>
    <w:tmpl w:val="ABF207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8"/>
  </w:num>
  <w:num w:numId="4">
    <w:abstractNumId w:val="22"/>
  </w:num>
  <w:num w:numId="5">
    <w:abstractNumId w:val="27"/>
  </w:num>
  <w:num w:numId="6">
    <w:abstractNumId w:val="12"/>
  </w:num>
  <w:num w:numId="7">
    <w:abstractNumId w:val="7"/>
  </w:num>
  <w:num w:numId="8">
    <w:abstractNumId w:val="1"/>
  </w:num>
  <w:num w:numId="9">
    <w:abstractNumId w:val="24"/>
  </w:num>
  <w:num w:numId="10">
    <w:abstractNumId w:val="10"/>
  </w:num>
  <w:num w:numId="11">
    <w:abstractNumId w:val="23"/>
  </w:num>
  <w:num w:numId="12">
    <w:abstractNumId w:val="21"/>
  </w:num>
  <w:num w:numId="13">
    <w:abstractNumId w:val="4"/>
  </w:num>
  <w:num w:numId="14">
    <w:abstractNumId w:val="20"/>
  </w:num>
  <w:num w:numId="15">
    <w:abstractNumId w:val="14"/>
  </w:num>
  <w:num w:numId="16">
    <w:abstractNumId w:val="18"/>
  </w:num>
  <w:num w:numId="17">
    <w:abstractNumId w:val="17"/>
  </w:num>
  <w:num w:numId="18">
    <w:abstractNumId w:val="11"/>
  </w:num>
  <w:num w:numId="19">
    <w:abstractNumId w:val="30"/>
  </w:num>
  <w:num w:numId="20">
    <w:abstractNumId w:val="5"/>
  </w:num>
  <w:num w:numId="21">
    <w:abstractNumId w:val="16"/>
  </w:num>
  <w:num w:numId="22">
    <w:abstractNumId w:val="28"/>
  </w:num>
  <w:num w:numId="23">
    <w:abstractNumId w:val="15"/>
  </w:num>
  <w:num w:numId="24">
    <w:abstractNumId w:val="29"/>
  </w:num>
  <w:num w:numId="25">
    <w:abstractNumId w:val="3"/>
  </w:num>
  <w:num w:numId="26">
    <w:abstractNumId w:val="19"/>
  </w:num>
  <w:num w:numId="27">
    <w:abstractNumId w:val="6"/>
  </w:num>
  <w:num w:numId="28">
    <w:abstractNumId w:val="26"/>
  </w:num>
  <w:num w:numId="29">
    <w:abstractNumId w:val="2"/>
  </w:num>
  <w:num w:numId="30">
    <w:abstractNumId w:val="0"/>
  </w:num>
  <w:num w:numId="3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5EB2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40E0"/>
    <w:rsid w:val="000A1F71"/>
    <w:rsid w:val="000A2D53"/>
    <w:rsid w:val="000A4F4E"/>
    <w:rsid w:val="000A7633"/>
    <w:rsid w:val="000A76FC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4987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098A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15A3"/>
    <w:rsid w:val="00302414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0C6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712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FC4"/>
    <w:rsid w:val="00481183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08E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D3B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B7076"/>
    <w:rsid w:val="005C3882"/>
    <w:rsid w:val="005C4B52"/>
    <w:rsid w:val="005C4ECE"/>
    <w:rsid w:val="005C6C48"/>
    <w:rsid w:val="005D4508"/>
    <w:rsid w:val="005E1529"/>
    <w:rsid w:val="005E4924"/>
    <w:rsid w:val="005E4F8D"/>
    <w:rsid w:val="005E7406"/>
    <w:rsid w:val="005F7C3E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365D4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0E0C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35705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4AA5"/>
    <w:rsid w:val="007E50E2"/>
    <w:rsid w:val="007E7607"/>
    <w:rsid w:val="007F2605"/>
    <w:rsid w:val="007F71A0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8F5ECD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34DB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3553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0C3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5CA7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36E61"/>
    <w:rsid w:val="00B42469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05FB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35B5"/>
    <w:rsid w:val="00CB777C"/>
    <w:rsid w:val="00CC4278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0D5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1EBC"/>
    <w:rsid w:val="00D24AE0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563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E7F5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427D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0BF7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17108"/>
    <w:rsid w:val="00F2088A"/>
    <w:rsid w:val="00F254F4"/>
    <w:rsid w:val="00F268CB"/>
    <w:rsid w:val="00F324CF"/>
    <w:rsid w:val="00F32D9A"/>
    <w:rsid w:val="00F365C7"/>
    <w:rsid w:val="00F37E47"/>
    <w:rsid w:val="00F44510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223D"/>
    <w:rsid w:val="00F731E7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668A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0.jpe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35DB2AC-9DBD-4713-AC2A-5561C469229F}">
  <ds:schemaRefs>
    <ds:schemaRef ds:uri="e0ff0205-9775-4d11-817e-13aacec916c5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06ABF14-7F7C-4B96-BC38-C9F74552C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871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12</cp:revision>
  <cp:lastPrinted>2015-07-09T08:30:00Z</cp:lastPrinted>
  <dcterms:created xsi:type="dcterms:W3CDTF">2019-07-11T02:12:00Z</dcterms:created>
  <dcterms:modified xsi:type="dcterms:W3CDTF">2019-07-22T03:49:00Z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