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A03A87" w:rsidRDefault="00A3512E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  <w:cs/>
        </w:rPr>
      </w:pPr>
      <w:r w:rsidRPr="00A03A87">
        <w:rPr>
          <w:sz w:val="20"/>
          <w:szCs w:val="20"/>
          <w:u w:val="none"/>
        </w:rPr>
        <w:t xml:space="preserve">Summary of changes on </w:t>
      </w:r>
      <w:r w:rsidR="00C52DC5" w:rsidRPr="00A03A87">
        <w:rPr>
          <w:sz w:val="20"/>
          <w:szCs w:val="20"/>
          <w:u w:val="none"/>
        </w:rPr>
        <w:t>“</w:t>
      </w:r>
      <w:r w:rsidR="006A0E0C" w:rsidRPr="00A03A87">
        <w:rPr>
          <w:sz w:val="20"/>
          <w:szCs w:val="20"/>
          <w:u w:val="none"/>
        </w:rPr>
        <w:t>MGL</w:t>
      </w:r>
      <w:r w:rsidR="00A94B6A" w:rsidRPr="00A03A87">
        <w:rPr>
          <w:sz w:val="20"/>
          <w:szCs w:val="20"/>
          <w:u w:val="none"/>
        </w:rPr>
        <w:t xml:space="preserve"> </w:t>
      </w:r>
      <w:r w:rsidR="00C52DC5" w:rsidRPr="00A03A87">
        <w:rPr>
          <w:sz w:val="20"/>
          <w:szCs w:val="20"/>
          <w:u w:val="none"/>
        </w:rPr>
        <w:t>Data Set Manual”</w:t>
      </w:r>
    </w:p>
    <w:p w:rsidR="00930B9C" w:rsidRPr="00A03A87" w:rsidRDefault="00C52DC5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</w:rPr>
      </w:pPr>
      <w:r w:rsidRPr="00A03A87">
        <w:rPr>
          <w:sz w:val="20"/>
          <w:szCs w:val="20"/>
          <w:u w:val="none"/>
        </w:rPr>
        <w:t xml:space="preserve">Update on </w:t>
      </w:r>
      <w:r w:rsidR="006A0E0C" w:rsidRPr="00A03A87">
        <w:rPr>
          <w:sz w:val="20"/>
          <w:szCs w:val="20"/>
          <w:u w:val="none"/>
        </w:rPr>
        <w:t>MGL</w:t>
      </w:r>
      <w:r w:rsidR="00766655" w:rsidRPr="00A03A87">
        <w:rPr>
          <w:sz w:val="20"/>
          <w:szCs w:val="20"/>
          <w:u w:val="none"/>
        </w:rPr>
        <w:t xml:space="preserve"> </w:t>
      </w:r>
      <w:r w:rsidRPr="00A03A87">
        <w:rPr>
          <w:sz w:val="20"/>
          <w:szCs w:val="20"/>
          <w:u w:val="none"/>
        </w:rPr>
        <w:t xml:space="preserve">Data Set Manual Version </w:t>
      </w:r>
      <w:r w:rsidR="00930B9C" w:rsidRPr="00A03A87">
        <w:rPr>
          <w:sz w:val="20"/>
          <w:szCs w:val="20"/>
          <w:u w:val="none"/>
        </w:rPr>
        <w:t>1.</w:t>
      </w:r>
      <w:r w:rsidR="00521023">
        <w:rPr>
          <w:sz w:val="20"/>
          <w:szCs w:val="20"/>
          <w:u w:val="none"/>
        </w:rPr>
        <w:t>5</w:t>
      </w:r>
    </w:p>
    <w:p w:rsidR="00A90FE4" w:rsidRPr="00A03A87" w:rsidRDefault="00C52DC5" w:rsidP="00A03A87">
      <w:pPr>
        <w:pStyle w:val="Sub-block"/>
        <w:spacing w:before="0" w:after="0" w:line="360" w:lineRule="auto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A03A87">
        <w:rPr>
          <w:rFonts w:cs="Tahoma"/>
          <w:sz w:val="20"/>
          <w:szCs w:val="20"/>
        </w:rPr>
        <w:t xml:space="preserve">Remarks: All changes from version </w:t>
      </w:r>
      <w:r w:rsidR="0037196D" w:rsidRPr="00A03A87">
        <w:rPr>
          <w:rFonts w:cs="Tahoma"/>
          <w:sz w:val="20"/>
          <w:szCs w:val="20"/>
        </w:rPr>
        <w:t>1.</w:t>
      </w:r>
      <w:r w:rsidR="00521023">
        <w:rPr>
          <w:rFonts w:cs="Tahoma"/>
          <w:sz w:val="20"/>
          <w:szCs w:val="20"/>
        </w:rPr>
        <w:t>4</w:t>
      </w:r>
      <w:r w:rsidR="0037196D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 xml:space="preserve">to version </w:t>
      </w:r>
      <w:r w:rsidR="00A94B6A" w:rsidRPr="00A03A87">
        <w:rPr>
          <w:rFonts w:cs="Tahoma"/>
          <w:sz w:val="20"/>
          <w:szCs w:val="20"/>
          <w:lang w:bidi="th-TH"/>
        </w:rPr>
        <w:t>1</w:t>
      </w:r>
      <w:r w:rsidR="005945F0" w:rsidRPr="00A03A87">
        <w:rPr>
          <w:rFonts w:cs="Tahoma"/>
          <w:sz w:val="20"/>
          <w:szCs w:val="20"/>
          <w:lang w:bidi="th-TH"/>
        </w:rPr>
        <w:t>.</w:t>
      </w:r>
      <w:r w:rsidR="00521023">
        <w:rPr>
          <w:rFonts w:cs="Tahoma"/>
          <w:sz w:val="20"/>
          <w:szCs w:val="20"/>
        </w:rPr>
        <w:t>5</w:t>
      </w:r>
      <w:r w:rsidR="000940E0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>are in</w:t>
      </w:r>
      <w:r w:rsidR="007412BE" w:rsidRPr="00A03A87">
        <w:rPr>
          <w:rFonts w:cs="Tahoma"/>
          <w:sz w:val="20"/>
          <w:szCs w:val="20"/>
        </w:rPr>
        <w:t xml:space="preserve"> </w:t>
      </w:r>
      <w:r w:rsidR="00521023" w:rsidRPr="00521023">
        <w:rPr>
          <w:rFonts w:cs="Tahoma"/>
          <w:color w:val="FF00FF"/>
          <w:sz w:val="20"/>
          <w:szCs w:val="20"/>
        </w:rPr>
        <w:t>pink</w:t>
      </w:r>
      <w:r w:rsidR="000940E0" w:rsidRPr="00521023">
        <w:rPr>
          <w:rFonts w:cs="Tahoma"/>
          <w:color w:val="FF00FF"/>
          <w:sz w:val="20"/>
          <w:szCs w:val="20"/>
        </w:rPr>
        <w:t xml:space="preserve"> font</w:t>
      </w:r>
      <w:r w:rsidR="000364B8" w:rsidRPr="00521023">
        <w:rPr>
          <w:rFonts w:cs="Tahoma"/>
          <w:color w:val="FF00FF"/>
          <w:sz w:val="20"/>
          <w:szCs w:val="20"/>
        </w:rPr>
        <w:t xml:space="preserve">. </w:t>
      </w:r>
      <w:r w:rsidR="000364B8" w:rsidRPr="00521023">
        <w:rPr>
          <w:rFonts w:cs="Tahoma"/>
          <w:b w:val="0"/>
          <w:bCs w:val="0"/>
          <w:color w:val="FF00FF"/>
          <w:sz w:val="20"/>
          <w:szCs w:val="20"/>
        </w:rPr>
        <w:t xml:space="preserve">  </w:t>
      </w:r>
    </w:p>
    <w:p w:rsidR="00BB72E3" w:rsidRPr="00A03A87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A03A87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03A87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21023" w:rsidRPr="00A03A87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521023" w:rsidRPr="00A03A87" w:rsidRDefault="00521023" w:rsidP="005210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881" w:type="dxa"/>
          </w:tcPr>
          <w:p w:rsidR="00521023" w:rsidRPr="00A03A87" w:rsidRDefault="00521023" w:rsidP="005210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-16</w:t>
            </w:r>
          </w:p>
        </w:tc>
        <w:tc>
          <w:tcPr>
            <w:tcW w:w="1305" w:type="dxa"/>
          </w:tcPr>
          <w:p w:rsidR="00521023" w:rsidRPr="00A03A87" w:rsidRDefault="00521023" w:rsidP="0052102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521023" w:rsidRPr="00A03A87" w:rsidRDefault="00521023" w:rsidP="005210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70EDB">
              <w:rPr>
                <w:color w:val="000000" w:themeColor="text1"/>
                <w:sz w:val="20"/>
                <w:szCs w:val="20"/>
                <w:u w:val="none"/>
              </w:rPr>
              <w:t>Date of Sale and Purchase Agreement</w:t>
            </w:r>
          </w:p>
        </w:tc>
        <w:tc>
          <w:tcPr>
            <w:tcW w:w="9815" w:type="dxa"/>
          </w:tcPr>
          <w:p w:rsidR="00521023" w:rsidRPr="00A03A87" w:rsidRDefault="00521023" w:rsidP="0052102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:rsidR="00521023" w:rsidRPr="00DF76EA" w:rsidRDefault="00521023" w:rsidP="00521023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</w:p>
          <w:p w:rsidR="00521023" w:rsidRPr="00A03A87" w:rsidRDefault="00521023" w:rsidP="00521023">
            <w:pPr>
              <w:pStyle w:val="Header"/>
              <w:numPr>
                <w:ilvl w:val="0"/>
                <w:numId w:val="35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51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>ต้องมีค่า ถ้า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Objective </w:t>
            </w:r>
            <w:r w:rsidRPr="00DF76EA">
              <w:rPr>
                <w:rFonts w:ascii="Tahoma" w:hAnsi="Tahoma"/>
                <w:color w:val="6600FF"/>
                <w:sz w:val="20"/>
                <w:cs/>
              </w:rPr>
              <w:t>มีค่าเท่ากับรายการดังนี้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ซื้อที่อยู่อาศัยใหม่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ซื้อที่อยู่อาศัยมือสอง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กู้เพื่อสร้างที่อยู่อาศัย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- 4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 / เพื่อพัฒนาที่อยู่อาศัยขาย)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เพื่อไถ่ถอนอสังหาริมทรัพย์จากสถาบันการเงินอื่น (</w:t>
            </w:r>
            <w:r w:rsidRPr="00A03A87">
              <w:rPr>
                <w:rFonts w:ascii="Tahoma" w:hAnsi="Tahoma"/>
                <w:color w:val="6600FF"/>
                <w:sz w:val="20"/>
              </w:rPr>
              <w:t>Refinance))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อื่นๆ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สินเชื่อที่อยู่อาศัยสำหรับผู้สูงอายุ (</w:t>
            </w:r>
            <w:r w:rsidRPr="00A03A87">
              <w:rPr>
                <w:rFonts w:ascii="Tahoma" w:hAnsi="Tahoma"/>
                <w:color w:val="6600FF"/>
                <w:sz w:val="20"/>
              </w:rPr>
              <w:t>Reverse Mortgage))</w:t>
            </w:r>
          </w:p>
          <w:p w:rsidR="00521023" w:rsidRPr="00A03A87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สินเชื่อเพื่อการอุปโภคบริโภคและอื่น ๆ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รวมถึงปรับปรุง / ต่อเติม / ซ่อมแซมที่อยู่อาศัย </w:t>
            </w:r>
            <w:r w:rsidRPr="00A03A87">
              <w:rPr>
                <w:rFonts w:ascii="Tahoma" w:hAnsi="Tahoma"/>
                <w:color w:val="6600FF"/>
                <w:sz w:val="20"/>
              </w:rPr>
              <w:t>(Top up))</w:t>
            </w:r>
          </w:p>
          <w:p w:rsidR="00521023" w:rsidRDefault="00521023" w:rsidP="00521023">
            <w:pPr>
              <w:pStyle w:val="Header"/>
              <w:numPr>
                <w:ilvl w:val="0"/>
                <w:numId w:val="35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32" w:hanging="270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ต้องไม่มีค่า ถ้า 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Objective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เป็นรายการที่นอกเหนือจากข้อ </w:t>
            </w:r>
            <w:r w:rsidRPr="00A03A87">
              <w:rPr>
                <w:rFonts w:ascii="Tahoma" w:hAnsi="Tahoma"/>
                <w:color w:val="6600FF"/>
                <w:sz w:val="20"/>
              </w:rPr>
              <w:t>1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”</w:t>
            </w:r>
          </w:p>
          <w:p w:rsidR="00521023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6600FF"/>
                <w:sz w:val="20"/>
              </w:rPr>
            </w:pPr>
          </w:p>
          <w:p w:rsidR="00521023" w:rsidRPr="00A03A87" w:rsidRDefault="00521023" w:rsidP="00521023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A03A87">
              <w:rPr>
                <w:color w:val="000000" w:themeColor="text1"/>
                <w:sz w:val="20"/>
                <w:szCs w:val="20"/>
                <w:u w:val="none"/>
                <w:cs/>
              </w:rPr>
              <w:t>“</w:t>
            </w:r>
          </w:p>
          <w:p w:rsidR="00521023" w:rsidRPr="00C70EDB" w:rsidRDefault="00521023" w:rsidP="00C70EDB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  <w:cs/>
              </w:rPr>
              <w:t>ต้</w:t>
            </w:r>
            <w:bookmarkStart w:id="0" w:name="_GoBack"/>
            <w:bookmarkEnd w:id="0"/>
            <w:r w:rsidRPr="00C70EDB">
              <w:rPr>
                <w:rFonts w:ascii="Tahoma" w:hAnsi="Tahoma"/>
                <w:color w:val="FF00FF"/>
                <w:sz w:val="20"/>
                <w:cs/>
              </w:rPr>
              <w:t>องมีค่า ถ้า</w:t>
            </w:r>
            <w:r w:rsidRPr="00C70EDB">
              <w:rPr>
                <w:rFonts w:ascii="Tahoma" w:hAnsi="Tahoma"/>
                <w:color w:val="FF00FF"/>
                <w:sz w:val="20"/>
              </w:rPr>
              <w:t xml:space="preserve"> Objective 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มีค่าเท่ากับรายการดังนี้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- 1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ซื้อที่อยู่อาศัยใหม่</w:t>
            </w:r>
            <w:r w:rsidRPr="00C70EDB">
              <w:rPr>
                <w:rFonts w:ascii="Tahoma" w:hAnsi="Tahoma"/>
                <w:color w:val="FF00FF"/>
                <w:sz w:val="20"/>
              </w:rPr>
              <w:t>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- 2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ซื้อที่อยู่อาศัยมือสอง</w:t>
            </w:r>
            <w:r w:rsidRPr="00C70EDB">
              <w:rPr>
                <w:rFonts w:ascii="Tahoma" w:hAnsi="Tahoma"/>
                <w:color w:val="FF00FF"/>
                <w:sz w:val="20"/>
              </w:rPr>
              <w:t>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lastRenderedPageBreak/>
              <w:t>- 3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กู้เพื่อสร้างที่อยู่อาศัย</w:t>
            </w:r>
            <w:r w:rsidRPr="00C70EDB">
              <w:rPr>
                <w:rFonts w:ascii="Tahoma" w:hAnsi="Tahoma"/>
                <w:color w:val="FF00FF"/>
                <w:sz w:val="20"/>
              </w:rPr>
              <w:t>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- 4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 / เพื่อพัฒนาที่อยู่อาศัยขาย)</w:t>
            </w:r>
            <w:r w:rsidRPr="00C70EDB">
              <w:rPr>
                <w:rFonts w:ascii="Tahoma" w:hAnsi="Tahoma"/>
                <w:color w:val="FF00FF"/>
                <w:sz w:val="20"/>
              </w:rPr>
              <w:t>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- 12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อื่นๆ</w:t>
            </w:r>
            <w:r w:rsidRPr="00C70EDB">
              <w:rPr>
                <w:rFonts w:ascii="Tahoma" w:hAnsi="Tahoma"/>
                <w:color w:val="FF00FF"/>
                <w:sz w:val="20"/>
              </w:rPr>
              <w:t>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- 13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สินเชื่อที่อยู่อาศัยสำหรับผู้สูงอายุ (</w:t>
            </w:r>
            <w:r w:rsidRPr="00C70EDB">
              <w:rPr>
                <w:rFonts w:ascii="Tahoma" w:hAnsi="Tahoma"/>
                <w:color w:val="FF00FF"/>
                <w:sz w:val="20"/>
              </w:rPr>
              <w:t>Reverse Mortgage))</w:t>
            </w:r>
          </w:p>
          <w:p w:rsidR="00521023" w:rsidRPr="00C70EDB" w:rsidRDefault="00521023" w:rsidP="005210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FF00FF"/>
                <w:sz w:val="20"/>
              </w:rPr>
            </w:pPr>
            <w:r w:rsidRPr="00C70EDB">
              <w:rPr>
                <w:rFonts w:ascii="Tahoma" w:hAnsi="Tahoma"/>
                <w:color w:val="FF00FF"/>
                <w:sz w:val="20"/>
              </w:rPr>
              <w:t>- 15 (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>สินเชื่อเพื่อการอุปโภคบริโภคและอื่น ๆ</w:t>
            </w:r>
            <w:r w:rsidRPr="00C70EDB">
              <w:rPr>
                <w:rFonts w:ascii="Tahoma" w:hAnsi="Tahoma"/>
                <w:color w:val="FF00FF"/>
                <w:sz w:val="20"/>
              </w:rPr>
              <w:t xml:space="preserve"> 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 xml:space="preserve">รวมถึงปรับปรุง / ต่อเติม / ซ่อมแซมที่อยู่อาศัย </w:t>
            </w:r>
            <w:r w:rsidRPr="00C70EDB">
              <w:rPr>
                <w:rFonts w:ascii="Tahoma" w:hAnsi="Tahoma"/>
                <w:color w:val="FF00FF"/>
                <w:sz w:val="20"/>
              </w:rPr>
              <w:t>(Top up))</w:t>
            </w:r>
          </w:p>
          <w:p w:rsidR="00521023" w:rsidRPr="00521023" w:rsidRDefault="00521023" w:rsidP="00521023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32" w:hanging="270"/>
              <w:rPr>
                <w:rFonts w:ascii="Tahoma" w:hAnsi="Tahoma"/>
                <w:color w:val="6600FF"/>
                <w:sz w:val="20"/>
                <w:cs/>
              </w:rPr>
            </w:pPr>
            <w:r w:rsidRPr="00C70EDB">
              <w:rPr>
                <w:rFonts w:ascii="Tahoma" w:hAnsi="Tahoma"/>
                <w:color w:val="FF00FF"/>
                <w:sz w:val="20"/>
                <w:cs/>
              </w:rPr>
              <w:t xml:space="preserve">ต้องไม่มีค่า ถ้า </w:t>
            </w:r>
            <w:r w:rsidRPr="00C70EDB">
              <w:rPr>
                <w:rFonts w:ascii="Tahoma" w:hAnsi="Tahoma"/>
                <w:color w:val="FF00FF"/>
                <w:sz w:val="20"/>
              </w:rPr>
              <w:t xml:space="preserve">Objective </w:t>
            </w:r>
            <w:r w:rsidRPr="00C70EDB">
              <w:rPr>
                <w:rFonts w:ascii="Tahoma" w:hAnsi="Tahoma"/>
                <w:color w:val="FF00FF"/>
                <w:sz w:val="20"/>
                <w:cs/>
              </w:rPr>
              <w:t xml:space="preserve">เป็นรายการที่นอกเหนือจากข้อ </w:t>
            </w:r>
            <w:r w:rsidRPr="00C70EDB">
              <w:rPr>
                <w:rFonts w:ascii="Tahoma" w:hAnsi="Tahoma"/>
                <w:color w:val="FF00FF"/>
                <w:sz w:val="20"/>
              </w:rPr>
              <w:t>1</w:t>
            </w:r>
            <w:r w:rsidRPr="00C70EDB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</w:tbl>
    <w:p w:rsidR="006C3EDB" w:rsidRPr="00A03A87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A03A87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D4" w:rsidRDefault="008332D4">
      <w:r>
        <w:separator/>
      </w:r>
    </w:p>
  </w:endnote>
  <w:endnote w:type="continuationSeparator" w:id="0">
    <w:p w:rsidR="008332D4" w:rsidRDefault="0083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70ED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70EDB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521023">
      <w:rPr>
        <w:rFonts w:ascii="Tahoma" w:hAnsi="Tahoma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D4" w:rsidRDefault="008332D4">
      <w:r>
        <w:separator/>
      </w:r>
    </w:p>
  </w:footnote>
  <w:footnote w:type="continuationSeparator" w:id="0">
    <w:p w:rsidR="008332D4" w:rsidRDefault="0083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6720EE8"/>
    <w:multiLevelType w:val="hybridMultilevel"/>
    <w:tmpl w:val="9D8EF4B6"/>
    <w:lvl w:ilvl="0" w:tplc="A7A60E1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10"/>
  </w:num>
  <w:num w:numId="4">
    <w:abstractNumId w:val="28"/>
  </w:num>
  <w:num w:numId="5">
    <w:abstractNumId w:val="34"/>
  </w:num>
  <w:num w:numId="6">
    <w:abstractNumId w:val="14"/>
  </w:num>
  <w:num w:numId="7">
    <w:abstractNumId w:val="9"/>
  </w:num>
  <w:num w:numId="8">
    <w:abstractNumId w:val="1"/>
  </w:num>
  <w:num w:numId="9">
    <w:abstractNumId w:val="30"/>
  </w:num>
  <w:num w:numId="10">
    <w:abstractNumId w:val="12"/>
  </w:num>
  <w:num w:numId="11">
    <w:abstractNumId w:val="29"/>
  </w:num>
  <w:num w:numId="12">
    <w:abstractNumId w:val="27"/>
  </w:num>
  <w:num w:numId="13">
    <w:abstractNumId w:val="4"/>
  </w:num>
  <w:num w:numId="14">
    <w:abstractNumId w:val="25"/>
  </w:num>
  <w:num w:numId="15">
    <w:abstractNumId w:val="17"/>
  </w:num>
  <w:num w:numId="16">
    <w:abstractNumId w:val="22"/>
  </w:num>
  <w:num w:numId="17">
    <w:abstractNumId w:val="21"/>
  </w:num>
  <w:num w:numId="18">
    <w:abstractNumId w:val="13"/>
  </w:num>
  <w:num w:numId="19">
    <w:abstractNumId w:val="39"/>
  </w:num>
  <w:num w:numId="20">
    <w:abstractNumId w:val="5"/>
  </w:num>
  <w:num w:numId="21">
    <w:abstractNumId w:val="20"/>
  </w:num>
  <w:num w:numId="22">
    <w:abstractNumId w:val="36"/>
  </w:num>
  <w:num w:numId="23">
    <w:abstractNumId w:val="19"/>
  </w:num>
  <w:num w:numId="24">
    <w:abstractNumId w:val="38"/>
  </w:num>
  <w:num w:numId="25">
    <w:abstractNumId w:val="3"/>
  </w:num>
  <w:num w:numId="26">
    <w:abstractNumId w:val="24"/>
  </w:num>
  <w:num w:numId="27">
    <w:abstractNumId w:val="7"/>
  </w:num>
  <w:num w:numId="28">
    <w:abstractNumId w:val="33"/>
  </w:num>
  <w:num w:numId="29">
    <w:abstractNumId w:val="2"/>
  </w:num>
  <w:num w:numId="30">
    <w:abstractNumId w:val="0"/>
  </w:num>
  <w:num w:numId="31">
    <w:abstractNumId w:val="11"/>
  </w:num>
  <w:num w:numId="32">
    <w:abstractNumId w:val="8"/>
  </w:num>
  <w:num w:numId="33">
    <w:abstractNumId w:val="35"/>
  </w:num>
  <w:num w:numId="34">
    <w:abstractNumId w:val="15"/>
  </w:num>
  <w:num w:numId="35">
    <w:abstractNumId w:val="37"/>
  </w:num>
  <w:num w:numId="36">
    <w:abstractNumId w:val="6"/>
  </w:num>
  <w:num w:numId="37">
    <w:abstractNumId w:val="18"/>
  </w:num>
  <w:num w:numId="38">
    <w:abstractNumId w:val="32"/>
  </w:num>
  <w:num w:numId="39">
    <w:abstractNumId w:val="23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16E5"/>
    <w:rsid w:val="004F7035"/>
    <w:rsid w:val="00503CFB"/>
    <w:rsid w:val="00505A73"/>
    <w:rsid w:val="0051035A"/>
    <w:rsid w:val="00520A37"/>
    <w:rsid w:val="00521023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53EE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32D4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22AA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0EDB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DF76EA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893AAD-1E5C-41AE-8699-5342C253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18</cp:revision>
  <cp:lastPrinted>2015-07-09T08:30:00Z</cp:lastPrinted>
  <dcterms:created xsi:type="dcterms:W3CDTF">2019-10-16T10:15:00Z</dcterms:created>
  <dcterms:modified xsi:type="dcterms:W3CDTF">2019-11-19T03:09:00Z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