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8F50E6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:rsidR="003D34A9" w:rsidRPr="008F50E6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8F50E6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127F39E" wp14:editId="24B9F0C8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8F50E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3D34A9" w:rsidRPr="008F50E6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:rsidR="003D34A9" w:rsidRPr="008F50E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B1350A" w:rsidRPr="006116C5" w:rsidRDefault="00A12590" w:rsidP="00B1350A">
      <w:pPr>
        <w:pStyle w:val="Title"/>
        <w:rPr>
          <w:rFonts w:ascii="Browallia New" w:hAnsi="Browallia New" w:cs="Browallia New"/>
          <w:color w:val="000000" w:themeColor="text1"/>
          <w:sz w:val="72"/>
          <w:szCs w:val="72"/>
        </w:rPr>
      </w:pPr>
      <w:r w:rsidRPr="006116C5">
        <w:rPr>
          <w:rFonts w:ascii="Browallia New" w:hAnsi="Browallia New" w:cs="Browallia New"/>
          <w:color w:val="000000" w:themeColor="text1"/>
          <w:sz w:val="72"/>
          <w:szCs w:val="72"/>
          <w:rtl/>
          <w:cs/>
        </w:rPr>
        <w:t xml:space="preserve">   </w:t>
      </w:r>
      <w:r w:rsidRPr="006116C5">
        <w:rPr>
          <w:rFonts w:ascii="Browallia New" w:hAnsi="Browallia New" w:cs="Browallia New"/>
          <w:color w:val="000000" w:themeColor="text1"/>
          <w:sz w:val="72"/>
          <w:szCs w:val="72"/>
          <w:cs/>
          <w:lang w:bidi="th-TH"/>
        </w:rPr>
        <w:t>คู่มือการจัดทำชุดข้อมูล</w:t>
      </w:r>
      <w:r w:rsidR="006116C5" w:rsidRPr="006116C5">
        <w:rPr>
          <w:rFonts w:ascii="Browallia New" w:hAnsi="Browallia New" w:cs="Browallia New"/>
          <w:color w:val="000000" w:themeColor="text1"/>
          <w:sz w:val="72"/>
          <w:szCs w:val="72"/>
          <w:cs/>
          <w:lang w:bidi="th-TH"/>
        </w:rPr>
        <w:t>ด้านการชำระเงิน</w:t>
      </w:r>
      <w:r w:rsidRPr="006116C5">
        <w:rPr>
          <w:rFonts w:ascii="Browallia New" w:hAnsi="Browallia New" w:cs="Browallia New"/>
          <w:color w:val="000000" w:themeColor="text1"/>
          <w:sz w:val="72"/>
          <w:szCs w:val="72"/>
        </w:rPr>
        <w:t xml:space="preserve"> </w:t>
      </w:r>
    </w:p>
    <w:p w:rsidR="006A3E1B" w:rsidRPr="006116C5" w:rsidRDefault="00B1350A" w:rsidP="006116C5">
      <w:pPr>
        <w:pStyle w:val="Title"/>
        <w:rPr>
          <w:rFonts w:ascii="Browallia New" w:hAnsi="Browallia New" w:cs="Browallia New"/>
          <w:sz w:val="48"/>
          <w:szCs w:val="48"/>
        </w:rPr>
      </w:pPr>
      <w:r w:rsidRPr="006116C5">
        <w:rPr>
          <w:rFonts w:ascii="Browallia New" w:hAnsi="Browallia New" w:cs="Browallia New"/>
          <w:color w:val="000000" w:themeColor="text1"/>
          <w:sz w:val="72"/>
          <w:szCs w:val="72"/>
        </w:rPr>
        <w:t>(</w:t>
      </w:r>
      <w:r w:rsidR="006116C5" w:rsidRPr="006116C5">
        <w:rPr>
          <w:rFonts w:ascii="Browallia New" w:hAnsi="Browallia New" w:cs="Browallia New"/>
          <w:color w:val="000000" w:themeColor="text1"/>
          <w:sz w:val="72"/>
          <w:szCs w:val="72"/>
        </w:rPr>
        <w:t xml:space="preserve">PAYMENT </w:t>
      </w:r>
      <w:r w:rsidR="00A12590" w:rsidRPr="006116C5">
        <w:rPr>
          <w:rFonts w:ascii="Browallia New" w:hAnsi="Browallia New" w:cs="Browallia New"/>
          <w:color w:val="000000" w:themeColor="text1"/>
          <w:sz w:val="72"/>
          <w:szCs w:val="72"/>
        </w:rPr>
        <w:t>DATA SET MANUAL)</w:t>
      </w:r>
    </w:p>
    <w:p w:rsidR="006A3E1B" w:rsidRPr="008F50E6" w:rsidRDefault="006A3E1B" w:rsidP="006A3E1B">
      <w:pPr>
        <w:rPr>
          <w:sz w:val="48"/>
          <w:szCs w:val="48"/>
        </w:rPr>
      </w:pPr>
    </w:p>
    <w:p w:rsidR="006A3E1B" w:rsidRPr="008F50E6" w:rsidRDefault="006A3E1B" w:rsidP="006A3E1B">
      <w:pPr>
        <w:tabs>
          <w:tab w:val="left" w:pos="14190"/>
        </w:tabs>
        <w:rPr>
          <w:sz w:val="48"/>
          <w:szCs w:val="48"/>
        </w:rPr>
      </w:pPr>
      <w:r w:rsidRPr="008F50E6">
        <w:rPr>
          <w:sz w:val="48"/>
          <w:szCs w:val="48"/>
        </w:rPr>
        <w:tab/>
      </w:r>
    </w:p>
    <w:p w:rsidR="003D34A9" w:rsidRPr="008F50E6" w:rsidRDefault="003D34A9" w:rsidP="006A3E1B">
      <w:pPr>
        <w:tabs>
          <w:tab w:val="left" w:pos="14190"/>
        </w:tabs>
        <w:rPr>
          <w:sz w:val="48"/>
          <w:szCs w:val="48"/>
        </w:rPr>
        <w:sectPr w:rsidR="003D34A9" w:rsidRPr="008F50E6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:rsidR="003D34A9" w:rsidRPr="008F50E6" w:rsidRDefault="003D34A9" w:rsidP="003D34A9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8F50E6">
        <w:rPr>
          <w:rFonts w:cs="Tahoma"/>
          <w:sz w:val="20"/>
          <w:szCs w:val="20"/>
          <w:lang w:val="fr-FR"/>
        </w:rPr>
        <w:lastRenderedPageBreak/>
        <w:t>Document information</w:t>
      </w:r>
      <w:r w:rsidRPr="008F50E6">
        <w:rPr>
          <w:rFonts w:cs="Tahoma"/>
          <w:sz w:val="20"/>
          <w:szCs w:val="20"/>
          <w:lang w:val="fr-FR"/>
        </w:rPr>
        <w:tab/>
      </w:r>
      <w:r w:rsidRPr="008F50E6">
        <w:rPr>
          <w:rFonts w:cs="Tahoma"/>
          <w:sz w:val="20"/>
          <w:szCs w:val="20"/>
          <w:lang w:val="fr-FR"/>
        </w:rPr>
        <w:tab/>
      </w:r>
    </w:p>
    <w:p w:rsidR="003D34A9" w:rsidRPr="008F50E6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:rsidR="003D34A9" w:rsidRPr="008F50E6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8F50E6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73"/>
        <w:gridCol w:w="9641"/>
        <w:gridCol w:w="1494"/>
      </w:tblGrid>
      <w:tr w:rsidR="000264CA" w:rsidRPr="008F50E6" w:rsidTr="006116C5">
        <w:trPr>
          <w:trHeight w:val="800"/>
          <w:tblHeader/>
        </w:trPr>
        <w:tc>
          <w:tcPr>
            <w:tcW w:w="1134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Version number</w:t>
            </w:r>
          </w:p>
        </w:tc>
        <w:tc>
          <w:tcPr>
            <w:tcW w:w="2173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Date</w:t>
            </w:r>
          </w:p>
        </w:tc>
        <w:tc>
          <w:tcPr>
            <w:tcW w:w="9641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Summary of changes</w:t>
            </w:r>
          </w:p>
        </w:tc>
        <w:tc>
          <w:tcPr>
            <w:tcW w:w="1494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Revision marks</w:t>
            </w:r>
          </w:p>
        </w:tc>
      </w:tr>
      <w:tr w:rsidR="000264CA" w:rsidRPr="008F50E6" w:rsidTr="006116C5">
        <w:trPr>
          <w:trHeight w:val="404"/>
        </w:trPr>
        <w:tc>
          <w:tcPr>
            <w:tcW w:w="1134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1.0</w:t>
            </w:r>
          </w:p>
        </w:tc>
        <w:tc>
          <w:tcPr>
            <w:tcW w:w="2173" w:type="dxa"/>
            <w:shd w:val="clear" w:color="auto" w:fill="auto"/>
          </w:tcPr>
          <w:p w:rsidR="000264CA" w:rsidRPr="008F50E6" w:rsidRDefault="006116C5" w:rsidP="002E49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6116C5">
              <w:rPr>
                <w:b/>
                <w:bCs/>
              </w:rPr>
              <w:t>2</w:t>
            </w:r>
            <w:r w:rsidR="002E4903">
              <w:rPr>
                <w:b/>
                <w:bCs/>
              </w:rPr>
              <w:t>4</w:t>
            </w:r>
            <w:r w:rsidRPr="006116C5">
              <w:rPr>
                <w:b/>
                <w:bCs/>
              </w:rPr>
              <w:t xml:space="preserve"> December</w:t>
            </w:r>
            <w:r w:rsidR="000264CA" w:rsidRPr="006116C5">
              <w:rPr>
                <w:b/>
                <w:bCs/>
              </w:rPr>
              <w:t xml:space="preserve"> 2018</w:t>
            </w:r>
          </w:p>
        </w:tc>
        <w:tc>
          <w:tcPr>
            <w:tcW w:w="9641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494" w:type="dxa"/>
            <w:shd w:val="clear" w:color="auto" w:fill="auto"/>
          </w:tcPr>
          <w:p w:rsidR="000264CA" w:rsidRPr="008F50E6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8F50E6">
              <w:rPr>
                <w:b/>
                <w:bCs/>
                <w:color w:val="000000" w:themeColor="text1"/>
              </w:rPr>
              <w:t>No</w:t>
            </w:r>
          </w:p>
        </w:tc>
      </w:tr>
    </w:tbl>
    <w:p w:rsidR="003D34A9" w:rsidRPr="008F50E6" w:rsidRDefault="003D34A9" w:rsidP="003D34A9">
      <w:pPr>
        <w:pStyle w:val="Title"/>
        <w:jc w:val="left"/>
        <w:rPr>
          <w:rFonts w:cs="Tahoma"/>
          <w:sz w:val="20"/>
          <w:szCs w:val="20"/>
        </w:rPr>
        <w:sectPr w:rsidR="003D34A9" w:rsidRPr="008F50E6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BB5C7C" w:rsidRPr="00F02EC5" w:rsidRDefault="00BB5C7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F02EC5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F02EC5">
        <w:rPr>
          <w:rFonts w:cs="Tahoma"/>
          <w:color w:val="000000" w:themeColor="text1"/>
          <w:sz w:val="20"/>
          <w:szCs w:val="20"/>
        </w:rPr>
        <w:tab/>
      </w:r>
    </w:p>
    <w:p w:rsidR="00137E08" w:rsidRPr="00137E08" w:rsidRDefault="00BB5C7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r w:rsidRPr="00F02EC5">
        <w:rPr>
          <w:i/>
          <w:iCs/>
        </w:rPr>
        <w:fldChar w:fldCharType="begin"/>
      </w:r>
      <w:r w:rsidRPr="00F02EC5">
        <w:rPr>
          <w:i/>
          <w:iCs/>
        </w:rPr>
        <w:instrText xml:space="preserve"> TOC \o "1-3" \h \z \t "Appendix A,1" </w:instrText>
      </w:r>
      <w:r w:rsidRPr="00F02EC5">
        <w:rPr>
          <w:i/>
          <w:iCs/>
        </w:rPr>
        <w:fldChar w:fldCharType="separate"/>
      </w:r>
      <w:hyperlink w:anchor="_Toc533094405" w:history="1">
        <w:r w:rsidR="00137E08" w:rsidRPr="00137E08">
          <w:rPr>
            <w:rStyle w:val="Hyperlink"/>
            <w:rFonts w:cs="Times New Roman"/>
            <w:color w:val="000000" w:themeColor="text1"/>
          </w:rPr>
          <w:t>1.</w:t>
        </w:r>
        <w:r w:rsidR="00137E08" w:rsidRPr="00137E0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137E08" w:rsidRPr="00137E08">
          <w:rPr>
            <w:rStyle w:val="Hyperlink"/>
            <w:color w:val="000000" w:themeColor="text1"/>
          </w:rPr>
          <w:t>Data Set Details</w:t>
        </w:r>
        <w:r w:rsidR="00137E08" w:rsidRPr="00137E08">
          <w:rPr>
            <w:webHidden/>
          </w:rPr>
          <w:tab/>
        </w:r>
        <w:r w:rsidR="00137E08" w:rsidRPr="00137E08">
          <w:rPr>
            <w:rStyle w:val="Hyperlink"/>
            <w:color w:val="000000" w:themeColor="text1"/>
          </w:rPr>
          <w:fldChar w:fldCharType="begin"/>
        </w:r>
        <w:r w:rsidR="00137E08" w:rsidRPr="00137E08">
          <w:rPr>
            <w:webHidden/>
          </w:rPr>
          <w:instrText xml:space="preserve"> PAGEREF _Toc533094405 \h </w:instrText>
        </w:r>
        <w:r w:rsidR="00137E08" w:rsidRPr="00137E08">
          <w:rPr>
            <w:rStyle w:val="Hyperlink"/>
            <w:color w:val="000000" w:themeColor="text1"/>
          </w:rPr>
        </w:r>
        <w:r w:rsidR="00137E08" w:rsidRPr="00137E08">
          <w:rPr>
            <w:rStyle w:val="Hyperlink"/>
            <w:color w:val="000000" w:themeColor="text1"/>
          </w:rPr>
          <w:fldChar w:fldCharType="separate"/>
        </w:r>
        <w:r w:rsidR="00137E08" w:rsidRPr="00137E08">
          <w:rPr>
            <w:webHidden/>
          </w:rPr>
          <w:t>4</w:t>
        </w:r>
        <w:r w:rsidR="00137E08" w:rsidRPr="00137E08">
          <w:rPr>
            <w:rStyle w:val="Hyperlink"/>
            <w:color w:val="000000" w:themeColor="text1"/>
          </w:rPr>
          <w:fldChar w:fldCharType="end"/>
        </w:r>
      </w:hyperlink>
    </w:p>
    <w:p w:rsidR="00137E08" w:rsidRPr="00137E08" w:rsidRDefault="007442FE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094406" w:history="1">
        <w:r w:rsidR="00137E08" w:rsidRPr="007442FE">
          <w:rPr>
            <w:rStyle w:val="Hyperlink"/>
            <w:color w:val="000000" w:themeColor="text1"/>
          </w:rPr>
          <w:t>1.</w:t>
        </w:r>
        <w:r w:rsidR="00137E08" w:rsidRPr="007442FE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137E08" w:rsidRPr="007442FE">
          <w:rPr>
            <w:rStyle w:val="Hyperlink"/>
            <w:color w:val="000000" w:themeColor="text1"/>
          </w:rPr>
          <w:t>Subject Area: Payment</w:t>
        </w:r>
        <w:r w:rsidR="00137E08" w:rsidRPr="00137E08">
          <w:rPr>
            <w:webHidden/>
          </w:rPr>
          <w:tab/>
        </w:r>
        <w:r w:rsidR="00137E08" w:rsidRPr="00137E08">
          <w:rPr>
            <w:rStyle w:val="Hyperlink"/>
            <w:color w:val="000000" w:themeColor="text1"/>
          </w:rPr>
          <w:fldChar w:fldCharType="begin"/>
        </w:r>
        <w:r w:rsidR="00137E08" w:rsidRPr="00137E08">
          <w:rPr>
            <w:webHidden/>
          </w:rPr>
          <w:instrText xml:space="preserve"> PAGEREF _Toc533094406 \h </w:instrText>
        </w:r>
        <w:r w:rsidR="00137E08" w:rsidRPr="00137E08">
          <w:rPr>
            <w:rStyle w:val="Hyperlink"/>
            <w:color w:val="000000" w:themeColor="text1"/>
          </w:rPr>
        </w:r>
        <w:r w:rsidR="00137E08" w:rsidRPr="00137E08">
          <w:rPr>
            <w:rStyle w:val="Hyperlink"/>
            <w:color w:val="000000" w:themeColor="text1"/>
          </w:rPr>
          <w:fldChar w:fldCharType="separate"/>
        </w:r>
        <w:r w:rsidR="00137E08" w:rsidRPr="00137E08">
          <w:rPr>
            <w:webHidden/>
          </w:rPr>
          <w:t>4</w:t>
        </w:r>
        <w:r w:rsidR="00137E08" w:rsidRPr="00137E08">
          <w:rPr>
            <w:rStyle w:val="Hyperlink"/>
            <w:color w:val="000000" w:themeColor="text1"/>
          </w:rPr>
          <w:fldChar w:fldCharType="end"/>
        </w:r>
      </w:hyperlink>
    </w:p>
    <w:p w:rsidR="00137E08" w:rsidRPr="00137E08" w:rsidRDefault="007442F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094407" w:history="1">
        <w:r w:rsidR="00137E08" w:rsidRPr="00137E08">
          <w:rPr>
            <w:rStyle w:val="Hyperlink"/>
            <w:bCs/>
            <w:color w:val="000000" w:themeColor="text1"/>
          </w:rPr>
          <w:t>1.</w:t>
        </w:r>
        <w:r w:rsidR="00137E08" w:rsidRPr="00137E08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137E08" w:rsidRPr="00137E08">
          <w:rPr>
            <w:rStyle w:val="Hyperlink"/>
            <w:color w:val="000000" w:themeColor="text1"/>
          </w:rPr>
          <w:t>Data Set  :  Card Usage Summary (DS_CUS)</w:t>
        </w:r>
        <w:r w:rsidR="00137E08" w:rsidRPr="00137E08">
          <w:rPr>
            <w:webHidden/>
            <w:color w:val="000000" w:themeColor="text1"/>
          </w:rPr>
          <w:tab/>
        </w:r>
        <w:r w:rsidR="00137E08" w:rsidRPr="00137E08">
          <w:rPr>
            <w:rStyle w:val="Hyperlink"/>
            <w:color w:val="000000" w:themeColor="text1"/>
          </w:rPr>
          <w:fldChar w:fldCharType="begin"/>
        </w:r>
        <w:r w:rsidR="00137E08" w:rsidRPr="00137E08">
          <w:rPr>
            <w:webHidden/>
            <w:color w:val="000000" w:themeColor="text1"/>
          </w:rPr>
          <w:instrText xml:space="preserve"> PAGEREF _Toc533094407 \h </w:instrText>
        </w:r>
        <w:r w:rsidR="00137E08" w:rsidRPr="00137E08">
          <w:rPr>
            <w:rStyle w:val="Hyperlink"/>
            <w:color w:val="000000" w:themeColor="text1"/>
          </w:rPr>
        </w:r>
        <w:r w:rsidR="00137E08" w:rsidRPr="00137E08">
          <w:rPr>
            <w:rStyle w:val="Hyperlink"/>
            <w:color w:val="000000" w:themeColor="text1"/>
          </w:rPr>
          <w:fldChar w:fldCharType="separate"/>
        </w:r>
        <w:r w:rsidR="00137E08" w:rsidRPr="00137E08">
          <w:rPr>
            <w:webHidden/>
            <w:color w:val="000000" w:themeColor="text1"/>
          </w:rPr>
          <w:t>4</w:t>
        </w:r>
        <w:r w:rsidR="00137E08" w:rsidRPr="00137E08">
          <w:rPr>
            <w:rStyle w:val="Hyperlink"/>
            <w:color w:val="000000" w:themeColor="text1"/>
          </w:rPr>
          <w:fldChar w:fldCharType="end"/>
        </w:r>
      </w:hyperlink>
    </w:p>
    <w:p w:rsidR="00137E08" w:rsidRPr="00137E08" w:rsidRDefault="007442F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094408" w:history="1">
        <w:r w:rsidR="00137E08" w:rsidRPr="00137E08">
          <w:rPr>
            <w:rStyle w:val="Hyperlink"/>
            <w:bCs/>
            <w:color w:val="000000" w:themeColor="text1"/>
          </w:rPr>
          <w:t>2.</w:t>
        </w:r>
        <w:r w:rsidR="00137E08" w:rsidRPr="00137E08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137E08" w:rsidRPr="00137E08">
          <w:rPr>
            <w:rStyle w:val="Hyperlink"/>
            <w:color w:val="000000" w:themeColor="text1"/>
          </w:rPr>
          <w:t>Data Set  :  Electronic Banking Se</w:t>
        </w:r>
        <w:bookmarkStart w:id="1" w:name="_GoBack"/>
        <w:bookmarkEnd w:id="1"/>
        <w:r w:rsidR="00137E08" w:rsidRPr="00137E08">
          <w:rPr>
            <w:rStyle w:val="Hyperlink"/>
            <w:color w:val="000000" w:themeColor="text1"/>
          </w:rPr>
          <w:t>rvices Summary (DS_EBS)</w:t>
        </w:r>
        <w:r w:rsidR="00137E08" w:rsidRPr="00137E08">
          <w:rPr>
            <w:webHidden/>
            <w:color w:val="000000" w:themeColor="text1"/>
          </w:rPr>
          <w:tab/>
        </w:r>
        <w:r w:rsidR="00137E08" w:rsidRPr="00137E08">
          <w:rPr>
            <w:rStyle w:val="Hyperlink"/>
            <w:color w:val="000000" w:themeColor="text1"/>
          </w:rPr>
          <w:fldChar w:fldCharType="begin"/>
        </w:r>
        <w:r w:rsidR="00137E08" w:rsidRPr="00137E08">
          <w:rPr>
            <w:webHidden/>
            <w:color w:val="000000" w:themeColor="text1"/>
          </w:rPr>
          <w:instrText xml:space="preserve"> PAGEREF _Toc533094408 \h </w:instrText>
        </w:r>
        <w:r w:rsidR="00137E08" w:rsidRPr="00137E08">
          <w:rPr>
            <w:rStyle w:val="Hyperlink"/>
            <w:color w:val="000000" w:themeColor="text1"/>
          </w:rPr>
        </w:r>
        <w:r w:rsidR="00137E08" w:rsidRPr="00137E08">
          <w:rPr>
            <w:rStyle w:val="Hyperlink"/>
            <w:color w:val="000000" w:themeColor="text1"/>
          </w:rPr>
          <w:fldChar w:fldCharType="separate"/>
        </w:r>
        <w:r w:rsidR="00137E08" w:rsidRPr="00137E08">
          <w:rPr>
            <w:webHidden/>
            <w:color w:val="000000" w:themeColor="text1"/>
          </w:rPr>
          <w:t>10</w:t>
        </w:r>
        <w:r w:rsidR="00137E08" w:rsidRPr="00137E08">
          <w:rPr>
            <w:rStyle w:val="Hyperlink"/>
            <w:color w:val="000000" w:themeColor="text1"/>
          </w:rPr>
          <w:fldChar w:fldCharType="end"/>
        </w:r>
      </w:hyperlink>
    </w:p>
    <w:p w:rsidR="00BB5C7C" w:rsidRPr="00857130" w:rsidRDefault="00BB5C7C" w:rsidP="00BB5C7C">
      <w:pPr>
        <w:pStyle w:val="Heading1"/>
        <w:tabs>
          <w:tab w:val="clear" w:pos="0"/>
        </w:tabs>
        <w:spacing w:before="120"/>
        <w:rPr>
          <w:rFonts w:ascii="Tahoma" w:hAnsi="Tahoma" w:cs="Tahoma"/>
          <w:color w:val="000000" w:themeColor="text1"/>
          <w:sz w:val="20"/>
          <w:szCs w:val="20"/>
          <w:u w:val="none"/>
        </w:rPr>
      </w:pPr>
      <w:r w:rsidRPr="00F02EC5">
        <w:rPr>
          <w:rFonts w:ascii="Tahoma" w:hAnsi="Tahoma" w:cs="Tahoma"/>
          <w:i/>
          <w:iCs/>
          <w:noProof/>
          <w:color w:val="000000" w:themeColor="text1"/>
        </w:rPr>
        <w:lastRenderedPageBreak/>
        <w:fldChar w:fldCharType="end"/>
      </w:r>
      <w:bookmarkStart w:id="2" w:name="_Toc533094405"/>
      <w:bookmarkEnd w:id="0"/>
      <w:r w:rsidRPr="00857130">
        <w:rPr>
          <w:rFonts w:ascii="Tahoma" w:hAnsi="Tahoma" w:cs="Tahoma"/>
          <w:color w:val="000000" w:themeColor="text1"/>
          <w:sz w:val="20"/>
          <w:szCs w:val="20"/>
          <w:u w:val="none"/>
        </w:rPr>
        <w:t>Data Set</w:t>
      </w:r>
      <w:r w:rsidR="00137E08" w:rsidRPr="00857130">
        <w:rPr>
          <w:rFonts w:ascii="Tahoma" w:hAnsi="Tahoma" w:cs="Tahoma"/>
          <w:color w:val="000000" w:themeColor="text1"/>
          <w:sz w:val="20"/>
          <w:szCs w:val="20"/>
          <w:u w:val="none"/>
        </w:rPr>
        <w:t xml:space="preserve"> Details</w:t>
      </w:r>
      <w:bookmarkEnd w:id="2"/>
    </w:p>
    <w:p w:rsidR="00BB5C7C" w:rsidRPr="00857130" w:rsidRDefault="00BB5C7C" w:rsidP="00A12590">
      <w:pPr>
        <w:pStyle w:val="Heading2"/>
        <w:ind w:left="1350" w:hanging="630"/>
        <w:rPr>
          <w:rFonts w:ascii="Tahoma" w:hAnsi="Tahoma"/>
          <w:i w:val="0"/>
          <w:iCs w:val="0"/>
          <w:sz w:val="20"/>
        </w:rPr>
      </w:pPr>
      <w:bookmarkStart w:id="3" w:name="_Toc533094406"/>
      <w:r w:rsidRPr="00857130">
        <w:rPr>
          <w:rFonts w:ascii="Tahoma" w:hAnsi="Tahoma"/>
          <w:i w:val="0"/>
          <w:iCs w:val="0"/>
          <w:sz w:val="20"/>
        </w:rPr>
        <w:t xml:space="preserve">Subject Area: </w:t>
      </w:r>
      <w:r w:rsidR="00F106DC" w:rsidRPr="00857130">
        <w:rPr>
          <w:rFonts w:ascii="Tahoma" w:hAnsi="Tahoma"/>
          <w:i w:val="0"/>
          <w:iCs w:val="0"/>
          <w:sz w:val="20"/>
        </w:rPr>
        <w:t>Payment</w:t>
      </w:r>
      <w:bookmarkEnd w:id="3"/>
    </w:p>
    <w:p w:rsidR="008D452F" w:rsidRPr="008D452F" w:rsidRDefault="008D452F" w:rsidP="008D452F"/>
    <w:p w:rsidR="00F106DC" w:rsidRPr="005B7ABB" w:rsidRDefault="00F106DC" w:rsidP="00F106DC">
      <w:pPr>
        <w:pStyle w:val="Heading3"/>
        <w:ind w:left="450"/>
        <w:jc w:val="center"/>
      </w:pPr>
      <w:bookmarkStart w:id="4" w:name="_Toc533094407"/>
      <w:bookmarkStart w:id="5" w:name="AppendixA"/>
      <w:r w:rsidRPr="005B7ABB">
        <w:t xml:space="preserve">Data </w:t>
      </w:r>
      <w:proofErr w:type="gramStart"/>
      <w:r w:rsidRPr="005B7ABB">
        <w:t>Set  :</w:t>
      </w:r>
      <w:proofErr w:type="gramEnd"/>
      <w:r w:rsidRPr="005B7ABB">
        <w:t xml:space="preserve">  Card Usage Summary</w:t>
      </w:r>
      <w:r>
        <w:t xml:space="preserve"> (DS_CUS)</w:t>
      </w:r>
      <w:bookmarkEnd w:id="4"/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คำอธิบาย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>
        <w:rPr>
          <w:color w:val="000000" w:themeColor="text1"/>
        </w:rPr>
        <w:tab/>
        <w:t xml:space="preserve">Data Set </w:t>
      </w:r>
      <w:r w:rsidRPr="005B7ABB">
        <w:rPr>
          <w:color w:val="000000" w:themeColor="text1"/>
          <w:cs/>
        </w:rPr>
        <w:t xml:space="preserve">ชุด </w:t>
      </w:r>
      <w:bookmarkStart w:id="6" w:name="cardusagesummary"/>
      <w:r w:rsidRPr="005B7ABB">
        <w:rPr>
          <w:color w:val="000000" w:themeColor="text1"/>
        </w:rPr>
        <w:t xml:space="preserve">Card Usage Summary </w:t>
      </w:r>
      <w:bookmarkEnd w:id="6"/>
      <w:r w:rsidRPr="005B7ABB">
        <w:rPr>
          <w:color w:val="000000" w:themeColor="text1"/>
          <w:cs/>
        </w:rPr>
        <w:t>เป็นข้อมูล</w:t>
      </w:r>
      <w:r w:rsidRPr="005B7ABB">
        <w:rPr>
          <w:color w:val="000000" w:themeColor="text1"/>
          <w:cs/>
          <w:lang w:val="th-TH"/>
        </w:rPr>
        <w:t>สรุป</w:t>
      </w:r>
      <w:r w:rsidRPr="005B7ABB">
        <w:rPr>
          <w:color w:val="000000" w:themeColor="text1"/>
          <w:cs/>
        </w:rPr>
        <w:t>เกี่ยวกับ</w:t>
      </w:r>
      <w:r w:rsidRPr="005B7ABB">
        <w:rPr>
          <w:color w:val="000000" w:themeColor="text1"/>
          <w:cs/>
          <w:lang w:val="th-TH"/>
        </w:rPr>
        <w:t>การใช้จ่ายของบัตรอิเล็</w:t>
      </w:r>
      <w:r w:rsidRPr="005B7ABB">
        <w:rPr>
          <w:rFonts w:hint="cs"/>
          <w:color w:val="000000" w:themeColor="text1"/>
          <w:cs/>
          <w:lang w:val="th-TH"/>
        </w:rPr>
        <w:t>ก</w:t>
      </w:r>
      <w:r w:rsidRPr="005B7ABB">
        <w:rPr>
          <w:color w:val="000000" w:themeColor="text1"/>
          <w:cs/>
          <w:lang w:val="th-TH"/>
        </w:rPr>
        <w:t>ทรอนิกส์ผ่านช่องทางต่าง ๆ รวมไปถึงการให้บริการ</w:t>
      </w:r>
      <w:r w:rsidRPr="005B7ABB">
        <w:rPr>
          <w:rFonts w:hint="cs"/>
          <w:color w:val="000000" w:themeColor="text1"/>
          <w:cs/>
          <w:lang w:val="th-TH"/>
        </w:rPr>
        <w:t>บัตรเดบิตและ</w:t>
      </w:r>
      <w:r w:rsidRPr="005B7ABB">
        <w:rPr>
          <w:color w:val="000000" w:themeColor="text1"/>
          <w:cs/>
          <w:lang w:val="th-TH"/>
        </w:rPr>
        <w:t>บัตรเครดิตที่ผู้ประกอบธุรกิจ</w:t>
      </w:r>
      <w:r w:rsidRPr="005B7ABB">
        <w:rPr>
          <w:rFonts w:hint="cs"/>
          <w:color w:val="000000" w:themeColor="text1"/>
          <w:cs/>
          <w:lang w:val="th-TH"/>
        </w:rPr>
        <w:t>บัตรเดบิตและ</w:t>
      </w:r>
      <w:r w:rsidRPr="005B7ABB">
        <w:rPr>
          <w:color w:val="000000" w:themeColor="text1"/>
          <w:cs/>
          <w:lang w:val="th-TH"/>
        </w:rPr>
        <w:t>บัตรเครดิตเป็นตัวแทนรับบัตร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สถาบันที่ต้องรายงาน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>ธนาคารพาณิชย์ไทย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  <w:lang w:val="th-TH"/>
        </w:rPr>
        <w:t>สาขาธนาคารพาณิชย์ต่างประเทศ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  <w:cs/>
        </w:rPr>
        <w:tab/>
        <w:t>ผู้ประกอบธุรกิจบัตรเครดิตที่ไม่ใช่สถาบันการเงิน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rFonts w:hint="cs"/>
          <w:color w:val="000000" w:themeColor="text1"/>
          <w:cs/>
        </w:rPr>
        <w:tab/>
      </w:r>
      <w:r w:rsidRPr="005B7ABB">
        <w:rPr>
          <w:color w:val="000000" w:themeColor="text1"/>
          <w:cs/>
        </w:rPr>
        <w:t>สถาบันการเงินพิเศษของรัฐ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  <w:lang w:val="th-TH"/>
        </w:rPr>
        <w:t>รายเดือน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</w:rPr>
        <w:t>ทุกสิ้น</w:t>
      </w:r>
      <w:r w:rsidRPr="005B7ABB">
        <w:rPr>
          <w:color w:val="000000" w:themeColor="text1"/>
          <w:cs/>
          <w:lang w:val="th-TH"/>
        </w:rPr>
        <w:t>เดือน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กำหนดการส่ง</w:t>
      </w:r>
    </w:p>
    <w:p w:rsidR="00F106DC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</w:rPr>
        <w:t>ภายใน 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106DC" w:rsidRPr="005B7ABB" w:rsidTr="00C03F5D">
        <w:trPr>
          <w:trHeight w:val="728"/>
          <w:tblHeader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</w:rPr>
              <w:t xml:space="preserve">Data Element </w:t>
            </w:r>
            <w:r w:rsidRPr="005B7ABB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5B7ABB">
              <w:rPr>
                <w:b/>
                <w:bCs/>
                <w:color w:val="000000" w:themeColor="text1"/>
              </w:rPr>
              <w:t>field</w:t>
            </w:r>
            <w:r w:rsidRPr="005B7ABB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106DC" w:rsidRPr="005B7ABB" w:rsidTr="00C03F5D">
        <w:trPr>
          <w:trHeight w:val="512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br w:type="page"/>
              <w:t>Organization Id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รหัสสถาบันการเงินหรือรหัสผู้ประกอบธุรกิจบัตรเครดิตที่ไม่ใช่สถาบันการเงิน  กรณีผู้ส่งข้อมูลที่เป็นสถาบันการเงินจะใช้รหัสเดิมของสถาบันการเงิน ซึ่งธนาคารพาณิชย์จะเป็นรหัส 2 หลักและใส่ 0 นำหน้ารหัสเดิม 1 ตัว  เช่น ธนาคารกรุงเทพ รหัส 02 จะเป็น 002</w:t>
            </w:r>
            <w:r w:rsidRPr="005B7ABB">
              <w:rPr>
                <w:color w:val="000000" w:themeColor="text1"/>
                <w:cs/>
              </w:rPr>
              <w:t xml:space="preserve">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กรณีที่เป็น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</w:p>
        </w:tc>
      </w:tr>
      <w:tr w:rsidR="00F106DC" w:rsidRPr="005B7ABB" w:rsidTr="00C03F5D">
        <w:trPr>
          <w:trHeight w:val="512"/>
        </w:trPr>
        <w:tc>
          <w:tcPr>
            <w:tcW w:w="2241" w:type="dxa"/>
          </w:tcPr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ชุดข้อมูลของสถาบันการเงิน  ให้ระบุเป็นรายงานชุดรวมทุกสำนักงานในประเทศ</w:t>
            </w:r>
          </w:p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en-GB"/>
              </w:rPr>
              <w:t>(</w:t>
            </w:r>
            <w:r w:rsidRPr="005B7ABB">
              <w:rPr>
                <w:color w:val="000000" w:themeColor="text1"/>
              </w:rPr>
              <w:t>Classification Name</w:t>
            </w:r>
            <w:r w:rsidRPr="005B7ABB">
              <w:rPr>
                <w:color w:val="000000" w:themeColor="text1"/>
                <w:cs/>
                <w:lang w:val="en-GB"/>
              </w:rPr>
              <w:t xml:space="preserve">: </w:t>
            </w:r>
            <w:r w:rsidRPr="005B7ABB">
              <w:rPr>
                <w:color w:val="000000" w:themeColor="text1"/>
              </w:rPr>
              <w:t>FI Reporting Group Id</w:t>
            </w:r>
            <w:r w:rsidRPr="005B7ABB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ตรวจสอบชุดข้อมูลที่</w:t>
            </w:r>
            <w:r w:rsidRPr="005B7ABB">
              <w:rPr>
                <w:color w:val="000000" w:themeColor="text1"/>
              </w:rPr>
              <w:t xml:space="preserve"> Classification </w:t>
            </w:r>
            <w:r w:rsidRPr="005B7ABB">
              <w:rPr>
                <w:color w:val="000000" w:themeColor="text1"/>
                <w:cs/>
              </w:rPr>
              <w:t>ใน</w:t>
            </w:r>
            <w:r w:rsidRPr="005B7ABB">
              <w:rPr>
                <w:color w:val="000000" w:themeColor="text1"/>
              </w:rPr>
              <w:t xml:space="preserve"> FI Reporting Group Id</w:t>
            </w:r>
          </w:p>
        </w:tc>
      </w:tr>
      <w:tr w:rsidR="00F106DC" w:rsidRPr="005B7ABB" w:rsidTr="00C03F5D">
        <w:trPr>
          <w:trHeight w:val="1005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วันที่ของชุดข้อมูล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Data Type </w:t>
            </w:r>
            <w:r w:rsidRPr="005B7ABB">
              <w:rPr>
                <w:color w:val="000000" w:themeColor="text1"/>
                <w:cs/>
              </w:rPr>
              <w:t xml:space="preserve">= </w:t>
            </w:r>
            <w:r w:rsidRPr="005B7ABB">
              <w:rPr>
                <w:color w:val="000000" w:themeColor="text1"/>
              </w:rPr>
              <w:t>Char</w:t>
            </w:r>
            <w:r w:rsidRPr="005B7ABB">
              <w:rPr>
                <w:color w:val="000000" w:themeColor="text1"/>
                <w:cs/>
              </w:rPr>
              <w:t xml:space="preserve">(10) </w:t>
            </w:r>
            <w:r w:rsidRPr="005B7ABB">
              <w:rPr>
                <w:color w:val="000000" w:themeColor="text1"/>
                <w:cs/>
                <w:lang w:val="th-TH"/>
              </w:rPr>
              <w:t>ใช้ปี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  <w:cs/>
                <w:lang w:val="th-TH"/>
              </w:rPr>
              <w:t>ค</w:t>
            </w:r>
            <w:r w:rsidRPr="005B7ABB">
              <w:rPr>
                <w:color w:val="000000" w:themeColor="text1"/>
                <w:cs/>
              </w:rPr>
              <w:t>.</w:t>
            </w:r>
            <w:r w:rsidRPr="005B7ABB">
              <w:rPr>
                <w:color w:val="000000" w:themeColor="text1"/>
                <w:cs/>
                <w:lang w:val="th-TH"/>
              </w:rPr>
              <w:t>ศ</w:t>
            </w:r>
            <w:r w:rsidRPr="005B7ABB">
              <w:rPr>
                <w:color w:val="000000" w:themeColor="text1"/>
                <w:cs/>
              </w:rPr>
              <w:t xml:space="preserve">.  </w:t>
            </w:r>
            <w:r w:rsidRPr="005B7ABB">
              <w:rPr>
                <w:color w:val="000000" w:themeColor="text1"/>
                <w:cs/>
                <w:lang w:val="th-TH"/>
              </w:rPr>
              <w:t xml:space="preserve">โดยจะมีรูปแบบเป็น      </w:t>
            </w:r>
            <w:proofErr w:type="spellStart"/>
            <w:r w:rsidRPr="005B7ABB">
              <w:rPr>
                <w:color w:val="000000" w:themeColor="text1"/>
              </w:rPr>
              <w:t>yyyy</w:t>
            </w:r>
            <w:proofErr w:type="spellEnd"/>
            <w:r w:rsidRPr="005B7ABB">
              <w:rPr>
                <w:color w:val="000000" w:themeColor="text1"/>
                <w:cs/>
              </w:rPr>
              <w:t>-</w:t>
            </w:r>
            <w:r w:rsidRPr="005B7ABB">
              <w:rPr>
                <w:color w:val="000000" w:themeColor="text1"/>
              </w:rPr>
              <w:t>mm</w:t>
            </w:r>
            <w:r w:rsidRPr="005B7ABB">
              <w:rPr>
                <w:color w:val="000000" w:themeColor="text1"/>
                <w:cs/>
              </w:rPr>
              <w:t>-</w:t>
            </w:r>
            <w:proofErr w:type="spellStart"/>
            <w:r w:rsidRPr="005B7ABB">
              <w:rPr>
                <w:color w:val="000000" w:themeColor="text1"/>
              </w:rPr>
              <w:t>dd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 เช่น วันที่ 31 ตุลาคม 2545 รูปแบบที่ต้องรายงาน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 </w:t>
            </w:r>
            <w:r w:rsidRPr="005B7ABB">
              <w:rPr>
                <w:color w:val="000000" w:themeColor="text1"/>
                <w:cs/>
                <w:lang w:val="th-TH"/>
              </w:rPr>
              <w:t>คือ 2002</w:t>
            </w:r>
            <w:r w:rsidRPr="005B7ABB">
              <w:rPr>
                <w:color w:val="000000" w:themeColor="text1"/>
                <w:cs/>
              </w:rPr>
              <w:t>-</w:t>
            </w:r>
            <w:r w:rsidRPr="005B7ABB">
              <w:rPr>
                <w:color w:val="000000" w:themeColor="text1"/>
                <w:cs/>
                <w:lang w:val="th-TH"/>
              </w:rPr>
              <w:t>10</w:t>
            </w:r>
            <w:r w:rsidRPr="005B7ABB">
              <w:rPr>
                <w:color w:val="000000" w:themeColor="text1"/>
                <w:cs/>
              </w:rPr>
              <w:t>-</w:t>
            </w:r>
            <w:r w:rsidRPr="005B7ABB">
              <w:rPr>
                <w:color w:val="000000" w:themeColor="text1"/>
                <w:cs/>
                <w:lang w:val="th-TH"/>
              </w:rPr>
              <w:t>31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Card Type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autoSpaceDE w:val="0"/>
              <w:autoSpaceDN w:val="0"/>
              <w:adjustRightInd w:val="0"/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ประเภทของบัตร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  <w:cs/>
                <w:lang w:val="th-TH"/>
              </w:rPr>
              <w:t xml:space="preserve">(บัตรเครดิต  บัตร </w:t>
            </w:r>
            <w:r w:rsidRPr="005B7ABB">
              <w:rPr>
                <w:color w:val="000000" w:themeColor="text1"/>
              </w:rPr>
              <w:t>ATM</w:t>
            </w:r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r w:rsidRPr="005B7ABB">
              <w:rPr>
                <w:color w:val="000000" w:themeColor="text1"/>
                <w:cs/>
              </w:rPr>
              <w:t>และ</w:t>
            </w:r>
            <w:r w:rsidRPr="005B7ABB">
              <w:rPr>
                <w:color w:val="000000" w:themeColor="text1"/>
                <w:cs/>
                <w:lang w:val="th-TH"/>
              </w:rPr>
              <w:t>บัตรเดบิต บัตรพลาสติกอื่น ๆ)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en-GB"/>
              </w:rPr>
              <w:t>(</w:t>
            </w:r>
            <w:r w:rsidRPr="005B7ABB">
              <w:rPr>
                <w:color w:val="000000" w:themeColor="text1"/>
              </w:rPr>
              <w:t>Classification Name</w:t>
            </w:r>
            <w:r w:rsidRPr="005B7ABB">
              <w:rPr>
                <w:color w:val="000000" w:themeColor="text1"/>
                <w:cs/>
                <w:lang w:val="en-GB"/>
              </w:rPr>
              <w:t xml:space="preserve">: </w:t>
            </w:r>
            <w:r w:rsidRPr="005B7ABB">
              <w:rPr>
                <w:color w:val="000000" w:themeColor="text1"/>
              </w:rPr>
              <w:t>Card Type</w:t>
            </w:r>
            <w:r w:rsidRPr="005B7ABB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>ชื่อ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>Card Type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Number of Cards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จำนวนบัตรทั้งหมดที่ยังไม่หมดอายุในงวดที่รายงาน </w:t>
            </w:r>
            <w:r w:rsidRPr="005B7ABB">
              <w:rPr>
                <w:color w:val="000000" w:themeColor="text1"/>
                <w:cs/>
              </w:rPr>
              <w:t xml:space="preserve">(ในกรณีที่เป็นบัตรเครดิตที่สถาบันการเงินในประเทศหรือผู้ประกอบธุรกิจบัตรเครดิตในประเทศเป็นเจ้าของหรือเป็นตัวแทนออกบัตร ให้นับเป็นจำนวนบัญชี เช่นเดียวกับที่กำหนดใน </w:t>
            </w:r>
            <w:r w:rsidRPr="005B7ABB">
              <w:rPr>
                <w:color w:val="000000" w:themeColor="text1"/>
              </w:rPr>
              <w:t xml:space="preserve">Data Set : Credit Card Summary </w:t>
            </w:r>
            <w:r w:rsidRPr="005B7ABB">
              <w:rPr>
                <w:color w:val="000000" w:themeColor="text1"/>
                <w:cs/>
              </w:rPr>
              <w:t xml:space="preserve"> ทั้งนี้ </w:t>
            </w:r>
            <w:r w:rsidRPr="005B7ABB">
              <w:rPr>
                <w:color w:val="000000" w:themeColor="text1"/>
                <w:cs/>
                <w:lang w:val="th-TH"/>
              </w:rPr>
              <w:t xml:space="preserve">การให้บริการบัตรเครดิตที่ผู้ประกอบธุรกิจบัตรเครดิตเป็นตัวแทนรับบัตรให้รายงานจำนวนบัตรเท่ากับศูนย์) </w:t>
            </w:r>
            <w:r w:rsidRPr="005B7ABB">
              <w:rPr>
                <w:color w:val="000000" w:themeColor="text1"/>
                <w:cs/>
              </w:rPr>
              <w:t xml:space="preserve"> และไม่ต้องนับจำนวนบัญชี  กรณีบัตรถูกยกเลิกไม่ให้ใช้ทั้ง</w:t>
            </w:r>
            <w:r w:rsidRPr="005B7ABB">
              <w:rPr>
                <w:color w:val="000000" w:themeColor="text1"/>
                <w:spacing w:val="-4"/>
                <w:cs/>
              </w:rPr>
              <w:t xml:space="preserve">แบบ </w:t>
            </w:r>
            <w:r w:rsidRPr="005B7ABB">
              <w:rPr>
                <w:color w:val="000000" w:themeColor="text1"/>
                <w:spacing w:val="-4"/>
              </w:rPr>
              <w:t xml:space="preserve">Cancel </w:t>
            </w:r>
            <w:r w:rsidRPr="005B7ABB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5B7ABB">
              <w:rPr>
                <w:color w:val="000000" w:themeColor="text1"/>
                <w:spacing w:val="-4"/>
              </w:rPr>
              <w:t xml:space="preserve">Write off </w:t>
            </w:r>
            <w:r w:rsidRPr="005B7ABB">
              <w:rPr>
                <w:color w:val="000000" w:themeColor="text1"/>
                <w:spacing w:val="-4"/>
                <w:cs/>
              </w:rPr>
              <w:t>แต่ยังต้องรายงานข้อมูลการใช้จ่าย และสินเชื่อฯ</w:t>
            </w:r>
            <w:r w:rsidRPr="005B7ABB">
              <w:rPr>
                <w:color w:val="000000" w:themeColor="text1"/>
                <w:cs/>
              </w:rPr>
              <w:t>ที่เกิดขึ้น หรือ คงค้างในงวดที่รายงาน</w:t>
            </w:r>
            <w:r w:rsidRPr="005B7ABB">
              <w:rPr>
                <w:color w:val="000000" w:themeColor="text1"/>
                <w:cs/>
              </w:rPr>
              <w:br/>
            </w: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5B7ABB">
              <w:rPr>
                <w:b/>
                <w:bCs/>
                <w:color w:val="000000" w:themeColor="text1"/>
              </w:rPr>
              <w:t xml:space="preserve"> :</w:t>
            </w:r>
            <w:r w:rsidRPr="005B7ABB">
              <w:rPr>
                <w:color w:val="000000" w:themeColor="text1"/>
              </w:rPr>
              <w:t xml:space="preserve"> 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 xml:space="preserve">Number of  Cards </w:t>
            </w:r>
            <w:r w:rsidRPr="005B7ABB">
              <w:rPr>
                <w:color w:val="000000" w:themeColor="text1"/>
                <w:cs/>
              </w:rPr>
              <w:t>ของบัตรเครดิตทุกประเภทใน</w:t>
            </w:r>
            <w:r w:rsidRPr="005B7ABB">
              <w:rPr>
                <w:color w:val="000000" w:themeColor="text1"/>
              </w:rPr>
              <w:t xml:space="preserve">  Card Usage Summary  =  Number of Account </w:t>
            </w:r>
            <w:r w:rsidRPr="005B7ABB">
              <w:rPr>
                <w:color w:val="000000" w:themeColor="text1"/>
                <w:cs/>
              </w:rPr>
              <w:t xml:space="preserve"> ของบัตรเครดิตทุกประเภทใน </w:t>
            </w:r>
            <w:r w:rsidRPr="005B7ABB">
              <w:rPr>
                <w:color w:val="000000" w:themeColor="text1"/>
              </w:rPr>
              <w:t>Credit Card Summary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 xml:space="preserve">และ </w:t>
            </w:r>
            <w:r w:rsidRPr="005B7ABB">
              <w:rPr>
                <w:color w:val="000000" w:themeColor="text1"/>
              </w:rPr>
              <w:t xml:space="preserve">Number of Cards </w:t>
            </w:r>
            <w:r w:rsidRPr="005B7ABB">
              <w:rPr>
                <w:color w:val="000000" w:themeColor="text1"/>
                <w:cs/>
              </w:rPr>
              <w:t xml:space="preserve">ของบัตรเครดิตประเภทที่ผู้ประกอบธุรกิจบัตรเครดิตในประเทศเป็นตัวแทนรับบัตร </w:t>
            </w:r>
            <w:r w:rsidRPr="005B7ABB">
              <w:rPr>
                <w:rFonts w:hint="cs"/>
                <w:color w:val="000000" w:themeColor="text1"/>
                <w:cs/>
              </w:rPr>
              <w:t>และ ของ</w:t>
            </w:r>
            <w:r w:rsidRPr="005B7ABB">
              <w:rPr>
                <w:color w:val="000000" w:themeColor="text1"/>
                <w:cs/>
              </w:rPr>
              <w:t>บัตรที่ผู้ประกอบธุรกิจบัตรเดบิตในประเทศหรือผู้รายงานข้อมูลเป็นตัวแทนรับบัตร</w:t>
            </w:r>
            <w:r w:rsidRPr="005B7ABB">
              <w:rPr>
                <w:color w:val="000000" w:themeColor="text1"/>
              </w:rPr>
              <w:t xml:space="preserve"> </w:t>
            </w:r>
            <w:r w:rsidRPr="005B7ABB">
              <w:rPr>
                <w:color w:val="000000" w:themeColor="text1"/>
                <w:cs/>
              </w:rPr>
              <w:t xml:space="preserve">ทุกประเภท </w:t>
            </w:r>
            <w:r w:rsidRPr="005B7ABB">
              <w:rPr>
                <w:color w:val="000000" w:themeColor="text1"/>
              </w:rPr>
              <w:t>=</w:t>
            </w:r>
            <w:r w:rsidRPr="005B7ABB">
              <w:rPr>
                <w:color w:val="000000" w:themeColor="text1"/>
                <w:cs/>
              </w:rPr>
              <w:t xml:space="preserve"> ศูนย์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Card Usage Channel Type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ช่องทางทำรายการของบัตร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en-GB"/>
              </w:rPr>
              <w:t xml:space="preserve">- </w:t>
            </w:r>
            <w:r w:rsidRPr="005B7ABB">
              <w:rPr>
                <w:color w:val="000000" w:themeColor="text1"/>
                <w:cs/>
              </w:rPr>
              <w:t xml:space="preserve">ตู้ </w:t>
            </w:r>
            <w:r w:rsidRPr="005B7ABB">
              <w:rPr>
                <w:color w:val="000000" w:themeColor="text1"/>
              </w:rPr>
              <w:t>ATM ADM and CDM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-</w:t>
            </w:r>
            <w:r w:rsidRPr="005B7ABB">
              <w:rPr>
                <w:color w:val="000000" w:themeColor="text1"/>
              </w:rPr>
              <w:t xml:space="preserve"> </w:t>
            </w:r>
            <w:r w:rsidRPr="005B7ABB">
              <w:rPr>
                <w:color w:val="000000" w:themeColor="text1"/>
                <w:cs/>
              </w:rPr>
              <w:t>เครื่องรับบัตร ณ จุดที่รับชำระค่าสินค้าและบริการ (</w:t>
            </w:r>
            <w:r w:rsidRPr="005B7ABB">
              <w:rPr>
                <w:color w:val="000000" w:themeColor="text1"/>
              </w:rPr>
              <w:t>EFTPOS)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 xml:space="preserve">- Internet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- Office Banking/ PC Banking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 xml:space="preserve">- Mobile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 xml:space="preserve">- </w:t>
            </w:r>
            <w:r w:rsidRPr="005B7ABB">
              <w:rPr>
                <w:color w:val="000000" w:themeColor="text1"/>
                <w:cs/>
              </w:rPr>
              <w:t>อื่น ๆ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(</w:t>
            </w:r>
            <w:r w:rsidRPr="005B7ABB">
              <w:rPr>
                <w:color w:val="000000" w:themeColor="text1"/>
              </w:rPr>
              <w:t>Classification Name:  Usage Channel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>ชื่อ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>Usage Channel Type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Transaction Type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ประเภทรายการ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</w:rPr>
              <w:t xml:space="preserve">- </w:t>
            </w:r>
            <w:r w:rsidRPr="005B7ABB">
              <w:rPr>
                <w:color w:val="000000" w:themeColor="text1"/>
                <w:cs/>
                <w:lang w:val="th-TH"/>
              </w:rPr>
              <w:t>ฝากเงิน</w:t>
            </w:r>
            <w:r w:rsidRPr="005B7ABB">
              <w:rPr>
                <w:color w:val="000000" w:themeColor="text1"/>
                <w:cs/>
              </w:rPr>
              <w:t xml:space="preserve">  </w:t>
            </w:r>
            <w:r w:rsidRPr="005B7ABB">
              <w:rPr>
                <w:color w:val="000000" w:themeColor="text1"/>
                <w:cs/>
                <w:lang w:val="th-TH"/>
              </w:rPr>
              <w:t>ถอนเงิน</w:t>
            </w:r>
            <w:r w:rsidRPr="005B7ABB">
              <w:rPr>
                <w:color w:val="000000" w:themeColor="text1"/>
                <w:cs/>
              </w:rPr>
              <w:t xml:space="preserve">  </w:t>
            </w:r>
            <w:r w:rsidRPr="005B7ABB">
              <w:rPr>
                <w:color w:val="000000" w:themeColor="text1"/>
                <w:cs/>
                <w:lang w:val="th-TH"/>
              </w:rPr>
              <w:t>เบิกเงินสดล่วงหน้า</w:t>
            </w:r>
            <w:r w:rsidRPr="005B7ABB">
              <w:rPr>
                <w:color w:val="000000" w:themeColor="text1"/>
                <w:cs/>
              </w:rPr>
              <w:t xml:space="preserve">  </w:t>
            </w:r>
            <w:r w:rsidRPr="005B7ABB">
              <w:rPr>
                <w:color w:val="000000" w:themeColor="text1"/>
                <w:cs/>
                <w:lang w:val="th-TH"/>
              </w:rPr>
              <w:t xml:space="preserve">โอนเงินธนาคารเดียวกัน  โอนเงินต่างธนาคาร 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>ชำระค่าสาธารณูปโภค</w:t>
            </w:r>
            <w:r w:rsidRPr="005B7ABB">
              <w:rPr>
                <w:color w:val="000000" w:themeColor="text1"/>
                <w:cs/>
                <w:lang w:val="th-TH"/>
              </w:rPr>
              <w:t xml:space="preserve"> (รวมการชำระค่าสาธารณูปโภค เช่น ค่าน้ำประปา, ค่าไฟฟ้า, ค่าโทรศัพท์) 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ชำระค่าบริการทางการเงิน </w:t>
            </w:r>
            <w:r w:rsidRPr="005B7ABB">
              <w:rPr>
                <w:color w:val="000000" w:themeColor="text1"/>
                <w:cs/>
                <w:lang w:val="th-TH"/>
              </w:rPr>
              <w:t>ชำระค่าสินค้าและบริการ เงินเดือนและค่าจ้าง อื่น ๆ   ทั้งนี้ กรณีบัตรเครดิตที่สถาบันผู้รายงานข้อมูลเป็นตัวแทนรับบัตร</w:t>
            </w:r>
            <w:r w:rsidRPr="005B7ABB">
              <w:rPr>
                <w:color w:val="000000" w:themeColor="text1"/>
              </w:rPr>
              <w:t xml:space="preserve"> </w:t>
            </w:r>
            <w:r w:rsidRPr="005B7ABB">
              <w:rPr>
                <w:color w:val="000000" w:themeColor="text1"/>
                <w:cs/>
                <w:lang w:val="th-TH"/>
              </w:rPr>
              <w:t>ซึ่งออกโดยผู้ประกอบธุรกิจบัตรเครดิตอื่นทั้งในและต่างประเทศ ให้รายงาน 2 ประเภทรายการ คือ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       - รายการเบิกเงินสดล่วงหน้า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       - รายการชำระค่าสินค้าและบริการ สำหรับการรับซื้อ </w:t>
            </w:r>
            <w:r w:rsidRPr="005B7ABB">
              <w:rPr>
                <w:color w:val="000000" w:themeColor="text1"/>
              </w:rPr>
              <w:t xml:space="preserve">Sales Slip </w:t>
            </w:r>
            <w:r w:rsidRPr="005B7ABB">
              <w:rPr>
                <w:color w:val="000000" w:themeColor="text1"/>
                <w:cs/>
              </w:rPr>
              <w:t>และเป็นผู้เรียกเก็บเงินให้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en-GB"/>
              </w:rPr>
              <w:t>(</w:t>
            </w:r>
            <w:r w:rsidRPr="005B7ABB">
              <w:rPr>
                <w:color w:val="000000" w:themeColor="text1"/>
              </w:rPr>
              <w:t>Classification Name: Transaction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>ชื่อ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>Transaction Type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 xml:space="preserve"> Number of Transactions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จำนวนรายการ    เป็นตัวเลขไม่เกิน  12  หลัก  ทั้งนี้ กรณีบัตรที่ผู้ประกอบธุรกิจบัตรเครดิตในประเทศเป็นตัวแทนรับบัตร จำนวนรายการประเภทชำระค่าสินค้าและบริการ หมายถึง จำนวนของ </w:t>
            </w:r>
            <w:r w:rsidRPr="005B7ABB">
              <w:rPr>
                <w:color w:val="000000" w:themeColor="text1"/>
              </w:rPr>
              <w:t xml:space="preserve">Sales Slip </w:t>
            </w:r>
            <w:r w:rsidRPr="005B7ABB">
              <w:rPr>
                <w:color w:val="000000" w:themeColor="text1"/>
                <w:cs/>
              </w:rPr>
              <w:t>ที่รับซื้อและเป็นผู้เรียกเก็บเงินให้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Transaction Value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มูลค่าของรายการ</w:t>
            </w:r>
            <w:r w:rsidRPr="005B7ABB">
              <w:rPr>
                <w:color w:val="000000" w:themeColor="text1"/>
                <w:cs/>
              </w:rPr>
              <w:t xml:space="preserve">  </w:t>
            </w:r>
            <w:r w:rsidRPr="005B7ABB">
              <w:rPr>
                <w:color w:val="000000" w:themeColor="text1"/>
                <w:cs/>
                <w:lang w:val="th-TH"/>
              </w:rPr>
              <w:t>หน่วยจะเป็นบาท</w:t>
            </w:r>
            <w:r w:rsidRPr="005B7ABB">
              <w:rPr>
                <w:color w:val="000000" w:themeColor="text1"/>
                <w:cs/>
              </w:rPr>
              <w:t xml:space="preserve">  </w:t>
            </w:r>
            <w:r w:rsidRPr="005B7ABB">
              <w:rPr>
                <w:color w:val="000000" w:themeColor="text1"/>
                <w:cs/>
                <w:lang w:val="th-TH"/>
              </w:rPr>
              <w:t>โดยรูปแบบจะเป็นตัวเลข</w:t>
            </w:r>
            <w:r w:rsidRPr="005B7ABB">
              <w:rPr>
                <w:color w:val="000000" w:themeColor="text1"/>
                <w:cs/>
              </w:rPr>
              <w:t xml:space="preserve">  20  </w:t>
            </w:r>
            <w:r w:rsidRPr="005B7ABB">
              <w:rPr>
                <w:color w:val="000000" w:themeColor="text1"/>
                <w:cs/>
                <w:lang w:val="th-TH"/>
              </w:rPr>
              <w:t>หลัก</w:t>
            </w:r>
            <w:r w:rsidRPr="005B7ABB">
              <w:rPr>
                <w:color w:val="000000" w:themeColor="text1"/>
                <w:cs/>
              </w:rPr>
              <w:t xml:space="preserve">          </w:t>
            </w:r>
            <w:r w:rsidRPr="005B7ABB">
              <w:rPr>
                <w:color w:val="000000" w:themeColor="text1"/>
                <w:cs/>
                <w:lang w:val="th-TH"/>
              </w:rPr>
              <w:t>ตัวเลขจำนวนเต็ม</w:t>
            </w:r>
            <w:r w:rsidRPr="005B7ABB">
              <w:rPr>
                <w:color w:val="000000" w:themeColor="text1"/>
                <w:cs/>
              </w:rPr>
              <w:t xml:space="preserve">  18  </w:t>
            </w:r>
            <w:r w:rsidRPr="005B7ABB">
              <w:rPr>
                <w:color w:val="000000" w:themeColor="text1"/>
                <w:cs/>
                <w:lang w:val="th-TH"/>
              </w:rPr>
              <w:t>หลัก ทศนิยม</w:t>
            </w:r>
            <w:r w:rsidRPr="005B7ABB">
              <w:rPr>
                <w:color w:val="000000" w:themeColor="text1"/>
                <w:cs/>
              </w:rPr>
              <w:t xml:space="preserve">  2 </w:t>
            </w:r>
            <w:r w:rsidRPr="005B7ABB">
              <w:rPr>
                <w:color w:val="000000" w:themeColor="text1"/>
                <w:cs/>
                <w:lang w:val="th-TH"/>
              </w:rPr>
              <w:t xml:space="preserve">หลัก  </w:t>
            </w:r>
            <w:r w:rsidRPr="005B7ABB">
              <w:rPr>
                <w:color w:val="000000" w:themeColor="text1"/>
              </w:rPr>
              <w:t xml:space="preserve">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Payer Involved Party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ประเภทของลูกค้าที่มาทำสัญญา โดยให้รายงานเฉพาะกรณีที่เป็นบัตรที่ผู้ประกอบธุรกิจในประเทศเป็นเจ้าของ หรือเป็นตัวแทนออกบัตร (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Issuer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) เท่านั้น โดยแยกประเภทตาม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ที่เป็น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Level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หลัก ได้แก่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บุคคลธรรมดาผู้มีถิ่นที่อยู่ในประเทศ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ธุรกิจ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กองทุนต่าง ๆ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สถาบันที่ไม่มีวัตถุประสงค์เพื่อหากำไร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องค์กรภาคทางการไทย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สถาบันการเงินในประเทศ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บุคคลผู้มีถิ่นที่อยู่ในต่างประเทศ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(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Classification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Name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: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Involved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Party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</w:rPr>
              <w:t xml:space="preserve">ชื่อ </w:t>
            </w:r>
            <w:r w:rsidRPr="005B7ABB">
              <w:rPr>
                <w:color w:val="000000" w:themeColor="text1"/>
              </w:rPr>
              <w:t>Involved Party Type</w:t>
            </w:r>
          </w:p>
          <w:p w:rsidR="00F106DC" w:rsidRPr="005B7ABB" w:rsidRDefault="00F106DC" w:rsidP="00C03F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Payee Business Group Code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กลุ่มของรหัสธุรกิจให้ระบุในกรณีที่ลูกค้าใช้บัตรอิเล็กทรอนิกส์ที่ออกร่วมกับผู้ประกอบธุรกิจเครือข่ายบัตรในประเทศ หรือ ต่างประเทศสำหรับชำระเงิน ได้แก่</w:t>
            </w:r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VISA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MasterCard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Amex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JCB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UP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TPN</w:t>
            </w:r>
            <w:proofErr w:type="spellEnd"/>
          </w:p>
          <w:p w:rsidR="00F106DC" w:rsidRPr="005B7ABB" w:rsidRDefault="00F106DC" w:rsidP="003A2FA3">
            <w:pPr>
              <w:pStyle w:val="ListParagraph"/>
              <w:numPr>
                <w:ilvl w:val="0"/>
                <w:numId w:val="5"/>
              </w:numPr>
              <w:spacing w:line="440" w:lineRule="exact"/>
              <w:ind w:left="145" w:hanging="145"/>
              <w:rPr>
                <w:color w:val="000000" w:themeColor="text1"/>
                <w:cs/>
                <w:lang w:val="th-TH"/>
              </w:rPr>
            </w:pP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MCC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-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PromptCard</w:t>
            </w:r>
            <w:proofErr w:type="spellEnd"/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</w:rPr>
              <w:t>(Classification Name : Merchant Business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 xml:space="preserve">- ตรวจสอบรหัสว่าอยู่ใน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</w:rPr>
              <w:t xml:space="preserve">ชื่อ </w:t>
            </w:r>
            <w:r w:rsidRPr="005B7ABB">
              <w:rPr>
                <w:color w:val="000000" w:themeColor="text1"/>
              </w:rPr>
              <w:t>Merchant Business Type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 xml:space="preserve">- หากระบุ </w:t>
            </w:r>
            <w:r w:rsidRPr="005B7ABB">
              <w:rPr>
                <w:color w:val="000000" w:themeColor="text1"/>
              </w:rPr>
              <w:t xml:space="preserve">“Payee Business Group Code” </w:t>
            </w:r>
            <w:r w:rsidRPr="005B7ABB">
              <w:rPr>
                <w:color w:val="000000" w:themeColor="text1"/>
                <w:cs/>
              </w:rPr>
              <w:t xml:space="preserve">ต้องระบุ </w:t>
            </w:r>
            <w:r w:rsidRPr="005B7ABB">
              <w:rPr>
                <w:color w:val="000000" w:themeColor="text1"/>
              </w:rPr>
              <w:t xml:space="preserve">“Payee Business Code” </w:t>
            </w:r>
            <w:r w:rsidRPr="005B7ABB">
              <w:rPr>
                <w:color w:val="000000" w:themeColor="text1"/>
                <w:cs/>
              </w:rPr>
              <w:t>ด้วย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5B7ABB">
              <w:rPr>
                <w:color w:val="000000" w:themeColor="text1"/>
                <w:cs/>
              </w:rPr>
              <w:t xml:space="preserve">- กรณีไม่มีข้อมูลให้ระบุเป็นค่าว่าง </w:t>
            </w:r>
            <w:r w:rsidRPr="005B7ABB">
              <w:rPr>
                <w:color w:val="000000" w:themeColor="text1"/>
              </w:rPr>
              <w:t xml:space="preserve">(Null) </w:t>
            </w:r>
            <w:r w:rsidRPr="005B7ABB">
              <w:rPr>
                <w:color w:val="000000" w:themeColor="text1"/>
                <w:cs/>
              </w:rPr>
              <w:t xml:space="preserve">ทั้ง </w:t>
            </w:r>
            <w:r w:rsidRPr="005B7ABB">
              <w:rPr>
                <w:color w:val="000000" w:themeColor="text1"/>
              </w:rPr>
              <w:t xml:space="preserve">“Payee Business Group Code” </w:t>
            </w:r>
            <w:r w:rsidRPr="005B7ABB">
              <w:rPr>
                <w:color w:val="000000" w:themeColor="text1"/>
                <w:cs/>
              </w:rPr>
              <w:t xml:space="preserve">และ </w:t>
            </w:r>
            <w:r w:rsidRPr="005B7ABB">
              <w:rPr>
                <w:color w:val="000000" w:themeColor="text1"/>
              </w:rPr>
              <w:t>“Payee Business Code”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Payee Business Code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รหัสธุรกิจของร้านค้า (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Merchant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Category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5B7ABB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>) ที่กำหนดโดยผู้ประกอบธุรกิจเครือข่ายบัตรในประเทศ หรือต่างประเทศ ทั้งนี้ ให้ระบุในกรณีที่ลูกค้าใช้บัตรอิเล็กทรอนิกส์ออกร่วมกับผู้ประกอบธุรกิจเครือข่ายบัตรในประเทศ หรือต่างประเทศ ชำระเงินกับร้านค้า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5B7ABB">
              <w:rPr>
                <w:color w:val="000000" w:themeColor="text1"/>
                <w:cs/>
              </w:rPr>
              <w:t xml:space="preserve">- ต้องมีค่าเมื่อ </w:t>
            </w:r>
            <w:r w:rsidRPr="005B7ABB">
              <w:rPr>
                <w:color w:val="000000" w:themeColor="text1"/>
              </w:rPr>
              <w:t xml:space="preserve">Payee Business Group Code </w:t>
            </w:r>
            <w:r w:rsidRPr="005B7ABB">
              <w:rPr>
                <w:color w:val="000000" w:themeColor="text1"/>
                <w:cs/>
              </w:rPr>
              <w:t>มีค่า</w:t>
            </w:r>
          </w:p>
        </w:tc>
      </w:tr>
    </w:tbl>
    <w:p w:rsidR="00F106DC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F106DC" w:rsidRDefault="00F106D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F106DC" w:rsidRPr="00F106DC" w:rsidRDefault="00F106DC" w:rsidP="00F106DC">
      <w:pPr>
        <w:pStyle w:val="Heading3"/>
        <w:ind w:left="360"/>
        <w:jc w:val="center"/>
      </w:pPr>
      <w:bookmarkStart w:id="7" w:name="_Toc533094408"/>
      <w:r w:rsidRPr="00F106DC">
        <w:t xml:space="preserve">Data </w:t>
      </w:r>
      <w:proofErr w:type="gramStart"/>
      <w:r w:rsidRPr="00F106DC">
        <w:t>Set  :</w:t>
      </w:r>
      <w:proofErr w:type="gramEnd"/>
      <w:r w:rsidRPr="00F106DC">
        <w:t xml:space="preserve">  Electronic Banking Services Summary (DS_EBS)</w:t>
      </w:r>
      <w:bookmarkEnd w:id="7"/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คำอธิบาย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</w:rPr>
        <w:tab/>
        <w:t xml:space="preserve">Data Set </w:t>
      </w:r>
      <w:r w:rsidRPr="005B7ABB">
        <w:rPr>
          <w:color w:val="000000" w:themeColor="text1"/>
          <w:cs/>
        </w:rPr>
        <w:t xml:space="preserve">ชุด </w:t>
      </w:r>
      <w:bookmarkStart w:id="8" w:name="electronicbankingservicessummary"/>
      <w:r w:rsidRPr="005B7ABB">
        <w:rPr>
          <w:color w:val="000000" w:themeColor="text1"/>
        </w:rPr>
        <w:t xml:space="preserve">Electronic Banking Services Summary </w:t>
      </w:r>
      <w:bookmarkEnd w:id="8"/>
      <w:r w:rsidRPr="005B7ABB">
        <w:rPr>
          <w:color w:val="000000" w:themeColor="text1"/>
          <w:cs/>
        </w:rPr>
        <w:t>เป็นข้อมูล</w:t>
      </w:r>
      <w:r w:rsidRPr="005B7ABB">
        <w:rPr>
          <w:color w:val="000000" w:themeColor="text1"/>
          <w:cs/>
          <w:lang w:val="th-TH"/>
        </w:rPr>
        <w:t>สรุป</w:t>
      </w:r>
      <w:r w:rsidRPr="005B7ABB">
        <w:rPr>
          <w:color w:val="000000" w:themeColor="text1"/>
          <w:cs/>
        </w:rPr>
        <w:t>เกี่ยวกับ</w:t>
      </w:r>
      <w:r w:rsidRPr="005B7ABB">
        <w:rPr>
          <w:color w:val="000000" w:themeColor="text1"/>
          <w:cs/>
          <w:lang w:val="th-TH"/>
        </w:rPr>
        <w:t>การให้บริการธนาคารอิเล็</w:t>
      </w:r>
      <w:r w:rsidRPr="005B7ABB">
        <w:rPr>
          <w:color w:val="000000" w:themeColor="text1"/>
          <w:cs/>
        </w:rPr>
        <w:t>ก</w:t>
      </w:r>
      <w:r w:rsidRPr="005B7ABB">
        <w:rPr>
          <w:color w:val="000000" w:themeColor="text1"/>
          <w:cs/>
          <w:lang w:val="th-TH"/>
        </w:rPr>
        <w:t>ทรอนิกส์ผ่านช่องทางต่าง ๆ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>ธนาคารพาณิชย์ไทย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5B7ABB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5B7ABB">
        <w:rPr>
          <w:color w:val="000000" w:themeColor="text1"/>
        </w:rPr>
        <w:tab/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rFonts w:hint="cs"/>
          <w:color w:val="000000" w:themeColor="text1"/>
          <w:cs/>
        </w:rPr>
        <w:tab/>
      </w:r>
      <w:r w:rsidRPr="005B7ABB">
        <w:rPr>
          <w:color w:val="000000" w:themeColor="text1"/>
          <w:cs/>
        </w:rPr>
        <w:t>สถาบันการเงินพิเศษของรัฐ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  <w:lang w:val="th-TH"/>
        </w:rPr>
        <w:t>รายเดือน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</w:rPr>
        <w:t>ทุกสิ้น</w:t>
      </w:r>
      <w:r w:rsidRPr="005B7ABB">
        <w:rPr>
          <w:rFonts w:hint="cs"/>
          <w:color w:val="000000" w:themeColor="text1"/>
          <w:cs/>
          <w:lang w:val="th-TH"/>
        </w:rPr>
        <w:t>เดือน</w:t>
      </w:r>
    </w:p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5B7ABB">
        <w:rPr>
          <w:b/>
          <w:bCs/>
          <w:color w:val="000000" w:themeColor="text1"/>
          <w:u w:val="single"/>
          <w:cs/>
        </w:rPr>
        <w:t>กำหนดการส่ง</w:t>
      </w:r>
    </w:p>
    <w:p w:rsidR="00F106DC" w:rsidRPr="005B7ABB" w:rsidRDefault="00F106DC" w:rsidP="006B308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5B7ABB">
        <w:rPr>
          <w:color w:val="000000" w:themeColor="text1"/>
        </w:rPr>
        <w:tab/>
      </w:r>
      <w:r w:rsidRPr="005B7ABB">
        <w:rPr>
          <w:color w:val="000000" w:themeColor="text1"/>
          <w:cs/>
        </w:rPr>
        <w:t>ภายใน  1  เดือน นับจากวันสิ้น</w:t>
      </w:r>
      <w:r w:rsidRPr="005B7ABB">
        <w:rPr>
          <w:rFonts w:hint="cs"/>
          <w:color w:val="000000" w:themeColor="text1"/>
          <w:cs/>
        </w:rPr>
        <w:t>เดือน</w:t>
      </w:r>
      <w:r w:rsidRPr="005B7ABB">
        <w:rPr>
          <w:color w:val="000000" w:themeColor="text1"/>
          <w:cs/>
        </w:rPr>
        <w:t>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106DC" w:rsidRPr="005B7ABB" w:rsidTr="00C03F5D">
        <w:trPr>
          <w:trHeight w:val="728"/>
          <w:tblHeader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</w:rPr>
              <w:t xml:space="preserve">Data Element </w:t>
            </w:r>
            <w:r w:rsidRPr="005B7ABB">
              <w:rPr>
                <w:b/>
                <w:bCs/>
                <w:color w:val="000000" w:themeColor="text1"/>
                <w:cs/>
              </w:rPr>
              <w:t>(</w:t>
            </w:r>
            <w:r w:rsidRPr="005B7ABB">
              <w:rPr>
                <w:b/>
                <w:bCs/>
                <w:color w:val="000000" w:themeColor="text1"/>
              </w:rPr>
              <w:t>field</w:t>
            </w:r>
            <w:r w:rsidRPr="005B7ABB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5B7ABB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106DC" w:rsidRPr="005B7ABB" w:rsidTr="00C03F5D">
        <w:trPr>
          <w:trHeight w:val="980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br w:type="page"/>
              <w:t>Organization Id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2 หลักและใส่ 0 นำหน้ารหัสเดิม 1 ตัว  เช่น ธนาคารกรุงเทพ รหัส 02 จะเป็น 002</w:t>
            </w:r>
            <w:r w:rsidRPr="005B7ABB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106DC" w:rsidRPr="005B7ABB" w:rsidTr="00C03F5D">
        <w:trPr>
          <w:trHeight w:val="1005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ชุดข้อมูลของสถาบันการเงิน  รายงานชุดรวมทุกสำนักงานในประเทศ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(</w:t>
            </w:r>
            <w:r w:rsidRPr="005B7ABB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มีเฉพาะชุดรวมทุกสำนักงานในประเทศ</w:t>
            </w:r>
          </w:p>
        </w:tc>
      </w:tr>
      <w:tr w:rsidR="00F106DC" w:rsidRPr="005B7ABB" w:rsidTr="00C03F5D">
        <w:trPr>
          <w:trHeight w:val="512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วันที่ของชุดข้อมูล </w:t>
            </w:r>
            <w:r w:rsidRPr="005B7ABB">
              <w:rPr>
                <w:color w:val="000000" w:themeColor="text1"/>
              </w:rPr>
              <w:t>Data Type = Char</w:t>
            </w:r>
            <w:r w:rsidRPr="005B7ABB">
              <w:rPr>
                <w:color w:val="000000" w:themeColor="text1"/>
                <w:cs/>
                <w:lang w:val="th-TH"/>
              </w:rPr>
              <w:t xml:space="preserve">(10) ใช้ปี ค.ศ.  โดยจะมีรูปแบบเป็น  </w:t>
            </w:r>
            <w:r w:rsidRPr="005B7ABB">
              <w:rPr>
                <w:color w:val="000000" w:themeColor="text1"/>
              </w:rPr>
              <w:t xml:space="preserve">     </w:t>
            </w:r>
            <w:proofErr w:type="spellStart"/>
            <w:r w:rsidRPr="005B7ABB">
              <w:rPr>
                <w:color w:val="000000" w:themeColor="text1"/>
              </w:rPr>
              <w:t>yyyy</w:t>
            </w:r>
            <w:proofErr w:type="spellEnd"/>
            <w:r w:rsidRPr="005B7ABB">
              <w:rPr>
                <w:color w:val="000000" w:themeColor="text1"/>
              </w:rPr>
              <w:t>-mm-</w:t>
            </w:r>
            <w:proofErr w:type="spellStart"/>
            <w:r w:rsidRPr="005B7ABB">
              <w:rPr>
                <w:color w:val="000000" w:themeColor="text1"/>
              </w:rPr>
              <w:t>dd</w:t>
            </w:r>
            <w:proofErr w:type="spellEnd"/>
            <w:r w:rsidRPr="005B7ABB">
              <w:rPr>
                <w:color w:val="000000" w:themeColor="text1"/>
                <w:cs/>
                <w:lang w:val="th-TH"/>
              </w:rPr>
              <w:t xml:space="preserve"> เช่น วันที่ 31 ตุลาคม 2545 รูปแบบที่ต้องรายงาน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 </w:t>
            </w:r>
            <w:r w:rsidRPr="005B7ABB">
              <w:rPr>
                <w:color w:val="000000" w:themeColor="text1"/>
                <w:cs/>
                <w:lang w:val="th-TH"/>
              </w:rPr>
              <w:t>คือ 200</w:t>
            </w:r>
            <w:r w:rsidRPr="005B7ABB">
              <w:rPr>
                <w:color w:val="000000" w:themeColor="text1"/>
                <w:cs/>
              </w:rPr>
              <w:t>2-</w:t>
            </w:r>
            <w:r w:rsidRPr="005B7ABB">
              <w:rPr>
                <w:color w:val="000000" w:themeColor="text1"/>
                <w:cs/>
                <w:lang w:val="th-TH"/>
              </w:rPr>
              <w:t>10</w:t>
            </w:r>
            <w:r w:rsidRPr="005B7ABB">
              <w:rPr>
                <w:color w:val="000000" w:themeColor="text1"/>
                <w:cs/>
              </w:rPr>
              <w:t>-</w:t>
            </w:r>
            <w:r w:rsidRPr="005B7ABB">
              <w:rPr>
                <w:color w:val="000000" w:themeColor="text1"/>
                <w:cs/>
                <w:lang w:val="th-TH"/>
              </w:rPr>
              <w:t>31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772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Month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เดือนของชุดข้อมูล 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spacing w:line="440" w:lineRule="exact"/>
              <w:rPr>
                <w:color w:val="000000" w:themeColor="text1"/>
              </w:rPr>
            </w:pP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ถ้าเดือนของชุดข้อมูล คือ ม.ค. </w:t>
            </w:r>
            <w:r w:rsidRPr="005B7ABB">
              <w:rPr>
                <w:color w:val="000000" w:themeColor="text1"/>
              </w:rPr>
              <w:t xml:space="preserve">Month = 01, </w:t>
            </w:r>
            <w:r w:rsidRPr="005B7ABB">
              <w:rPr>
                <w:rFonts w:hint="cs"/>
                <w:color w:val="000000" w:themeColor="text1"/>
                <w:cs/>
              </w:rPr>
              <w:t xml:space="preserve">ก.พ. </w:t>
            </w:r>
            <w:r w:rsidRPr="005B7ABB">
              <w:rPr>
                <w:color w:val="000000" w:themeColor="text1"/>
              </w:rPr>
              <w:t xml:space="preserve">Month = 02, </w:t>
            </w:r>
            <w:r w:rsidRPr="005B7ABB">
              <w:rPr>
                <w:rFonts w:hint="cs"/>
                <w:color w:val="000000" w:themeColor="text1"/>
                <w:cs/>
              </w:rPr>
              <w:t xml:space="preserve">มี.ค. </w:t>
            </w:r>
            <w:r w:rsidRPr="005B7ABB">
              <w:rPr>
                <w:color w:val="000000" w:themeColor="text1"/>
              </w:rPr>
              <w:t xml:space="preserve">Month = 03, …, </w:t>
            </w:r>
            <w:r w:rsidRPr="005B7ABB">
              <w:rPr>
                <w:rFonts w:hint="cs"/>
                <w:color w:val="000000" w:themeColor="text1"/>
                <w:cs/>
              </w:rPr>
              <w:t xml:space="preserve">ธ.ค. </w:t>
            </w:r>
            <w:r w:rsidRPr="005B7ABB">
              <w:rPr>
                <w:color w:val="000000" w:themeColor="text1"/>
              </w:rPr>
              <w:t>Month = 12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Electronic Banking Services Type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ประเภทของการให้บริการธนาคารอิเล็กทรอนิกส์และการชำระเงินอิเล็กทรอนิกส์โดยลูกค้าเป็นผู้ทำรายการผ่านบัญชี  และประเภทรายการที่ธนาคารเป็นผู้ทำรายการให้สำหรับรายการโอนเงินระหว่างบัญชีโดยมีข้อตกลงล่วงหน้าเฉพาะรายการที่เกิดขึ้นภายในธนาคารเดียวกัน </w:t>
            </w:r>
            <w:r w:rsidRPr="005B7ABB">
              <w:rPr>
                <w:color w:val="000000" w:themeColor="text1"/>
                <w:cs/>
              </w:rPr>
              <w:t>(</w:t>
            </w:r>
            <w:r w:rsidRPr="005B7ABB">
              <w:rPr>
                <w:color w:val="000000" w:themeColor="text1"/>
              </w:rPr>
              <w:t>Classification Name: Electronic Banking Services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>ชื่อ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>Electronic Banking Services Type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962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ประเภทของลูกค้าที่มาทำสัญญา โดยแยกประเภทตาม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Code </w:t>
            </w:r>
            <w:r w:rsidRPr="005B7ABB">
              <w:rPr>
                <w:color w:val="000000" w:themeColor="text1"/>
                <w:cs/>
              </w:rPr>
              <w:t xml:space="preserve">ที่เป็น </w:t>
            </w:r>
            <w:r w:rsidRPr="005B7ABB">
              <w:rPr>
                <w:color w:val="000000" w:themeColor="text1"/>
              </w:rPr>
              <w:t xml:space="preserve">Level  </w:t>
            </w:r>
            <w:r w:rsidRPr="005B7ABB">
              <w:rPr>
                <w:color w:val="000000" w:themeColor="text1"/>
                <w:cs/>
              </w:rPr>
              <w:t xml:space="preserve">หลัก ได้แก่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บุคคลธรรมดาผู้มีถิ่นที่อยู่ในประเทศ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ธุรกิจ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กองทุนต่าง ๆ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สถาบันที่ไม่มีวัตถุประสงค์เพื่อหากำไร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องค์กรภาคทางการไทย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>- สถาบันการเงินในประเทศ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บุคคลผู้มีถิ่นที่อยู่ในต่างประเทศ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</w:rPr>
              <w:t>(</w:t>
            </w:r>
            <w:r w:rsidRPr="005B7ABB">
              <w:rPr>
                <w:color w:val="000000" w:themeColor="text1"/>
              </w:rPr>
              <w:t>Classification Name</w:t>
            </w:r>
            <w:r w:rsidRPr="005B7ABB">
              <w:rPr>
                <w:color w:val="000000" w:themeColor="text1"/>
                <w:cs/>
              </w:rPr>
              <w:t xml:space="preserve">: </w:t>
            </w:r>
            <w:r w:rsidRPr="005B7ABB">
              <w:rPr>
                <w:color w:val="000000" w:themeColor="text1"/>
              </w:rPr>
              <w:t>Involved Party Type</w:t>
            </w:r>
            <w:r w:rsidRPr="005B7ABB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>ชื่อ</w:t>
            </w:r>
            <w:r w:rsidRPr="005B7ABB">
              <w:rPr>
                <w:color w:val="000000" w:themeColor="text1"/>
                <w:cs/>
              </w:rPr>
              <w:t xml:space="preserve"> </w:t>
            </w:r>
            <w:r w:rsidRPr="005B7ABB">
              <w:rPr>
                <w:color w:val="000000" w:themeColor="text1"/>
              </w:rPr>
              <w:t>Involved Party Type</w:t>
            </w:r>
          </w:p>
        </w:tc>
      </w:tr>
      <w:tr w:rsidR="00F106DC" w:rsidRPr="005B7ABB" w:rsidTr="00C03F5D">
        <w:trPr>
          <w:trHeight w:val="1430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Number of  Accounts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จำนวนบัญชีสะสมทั้งหมดที่ทำสัญญาขอใช้บริการจนถึงงวดปัจจุบันของแต่ละ </w:t>
            </w:r>
            <w:r w:rsidRPr="005B7ABB">
              <w:rPr>
                <w:color w:val="000000" w:themeColor="text1"/>
              </w:rPr>
              <w:t xml:space="preserve">Involved Party Type </w:t>
            </w:r>
            <w:r w:rsidRPr="005B7ABB">
              <w:rPr>
                <w:color w:val="000000" w:themeColor="text1"/>
                <w:cs/>
              </w:rPr>
              <w:t xml:space="preserve"> ภายใต้บริการประเภทต่าง ๆ ของธนาคาร</w:t>
            </w:r>
            <w:r w:rsidRPr="005B7ABB">
              <w:rPr>
                <w:color w:val="000000" w:themeColor="text1"/>
                <w:cs/>
                <w:lang w:val="th-TH"/>
              </w:rPr>
              <w:t xml:space="preserve"> 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Transaction Type</w:t>
            </w:r>
            <w:r w:rsidRPr="005B7ABB">
              <w:rPr>
                <w:color w:val="000000" w:themeColor="text1"/>
              </w:rPr>
              <w:br/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ประเภทรายการ  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- ฝากเงิน  ถอนเงิน  เบิกเงินสดล่วงหน้า  โอนเงินธนาคารเดียวกัน  โอนเงินต่างธนาคาร  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ชำระค่าสาธารณูปโภค </w:t>
            </w:r>
            <w:r w:rsidRPr="005B7ABB">
              <w:rPr>
                <w:color w:val="000000" w:themeColor="text1"/>
                <w:cs/>
                <w:lang w:val="th-TH"/>
              </w:rPr>
              <w:t xml:space="preserve">(รวมการชำระค่าสาธารณูปโภค เช่น ค่าน้ำประปา, ค่าไฟฟ้า, ค่าโทรศัพท์)  </w:t>
            </w:r>
            <w:r w:rsidRPr="005B7ABB">
              <w:rPr>
                <w:rFonts w:hint="cs"/>
                <w:color w:val="000000" w:themeColor="text1"/>
                <w:cs/>
                <w:lang w:val="th-TH"/>
              </w:rPr>
              <w:t xml:space="preserve">ชำระค่าบริการทางการเงิน </w:t>
            </w:r>
            <w:r w:rsidRPr="005B7ABB">
              <w:rPr>
                <w:color w:val="000000" w:themeColor="text1"/>
                <w:cs/>
                <w:lang w:val="th-TH"/>
              </w:rPr>
              <w:t>ชำระค่าสินค้าและบริการ เงินเดือนและค่าจ้าง อื่น ๆ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en-GB"/>
              </w:rPr>
              <w:t>(</w:t>
            </w:r>
            <w:r w:rsidRPr="005B7ABB">
              <w:rPr>
                <w:color w:val="000000" w:themeColor="text1"/>
              </w:rPr>
              <w:t>Classification Name</w:t>
            </w:r>
            <w:r w:rsidRPr="005B7ABB">
              <w:rPr>
                <w:color w:val="000000" w:themeColor="text1"/>
                <w:cs/>
                <w:lang w:val="en-GB"/>
              </w:rPr>
              <w:t xml:space="preserve">: </w:t>
            </w:r>
            <w:r w:rsidRPr="005B7ABB">
              <w:rPr>
                <w:color w:val="000000" w:themeColor="text1"/>
              </w:rPr>
              <w:t>Transaction Type</w:t>
            </w:r>
            <w:r w:rsidRPr="005B7ABB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 xml:space="preserve">ตรวจสอบรหัสว่าอยู่ใน </w:t>
            </w:r>
            <w:r w:rsidRPr="005B7ABB">
              <w:rPr>
                <w:color w:val="000000" w:themeColor="text1"/>
              </w:rPr>
              <w:t xml:space="preserve">Classification </w:t>
            </w:r>
            <w:r w:rsidRPr="005B7ABB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5B7ABB">
              <w:rPr>
                <w:color w:val="000000" w:themeColor="text1"/>
              </w:rPr>
              <w:t>Transaction Type</w:t>
            </w:r>
          </w:p>
        </w:tc>
      </w:tr>
      <w:tr w:rsidR="00F106DC" w:rsidRPr="005B7ABB" w:rsidTr="00C03F5D">
        <w:trPr>
          <w:trHeight w:val="1039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Number of Transactions</w:t>
            </w: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จำนวนรายการ   เป็นตัวเลขไม่เกิน  12  หลัก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06DC" w:rsidRPr="005B7ABB" w:rsidTr="00C03F5D">
        <w:trPr>
          <w:trHeight w:val="1466"/>
        </w:trPr>
        <w:tc>
          <w:tcPr>
            <w:tcW w:w="2241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Transaction Value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  <w:cs/>
                <w:lang w:val="th-TH"/>
              </w:rPr>
              <w:t>มูลค่าของรายการ  หน่วยจะเป็นบาท  โดยรูปแบบจะเป็นตัวเลข  20  หลัก          ตัวเลขจำนวนเต็ม  18  หลัก ทศนิยม  2 หลัก</w:t>
            </w:r>
          </w:p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5B7ABB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06DC" w:rsidRPr="005B7ABB" w:rsidRDefault="00F106DC" w:rsidP="00C03F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bookmarkEnd w:id="5"/>
    </w:tbl>
    <w:p w:rsidR="00F106DC" w:rsidRPr="005B7ABB" w:rsidRDefault="00F106DC" w:rsidP="00F106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sectPr w:rsidR="00F106DC" w:rsidRPr="005B7ABB" w:rsidSect="00E07528">
      <w:headerReference w:type="default" r:id="rId16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12D" w:rsidRDefault="002A312D" w:rsidP="00917C33">
      <w:r>
        <w:separator/>
      </w:r>
    </w:p>
  </w:endnote>
  <w:endnote w:type="continuationSeparator" w:id="0">
    <w:p w:rsidR="002A312D" w:rsidRDefault="002A312D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8B" w:rsidRDefault="00661A8B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4C8127" wp14:editId="5803ACD4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1A8B" w:rsidRPr="007D71A9" w:rsidRDefault="00661A8B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61A8B" w:rsidRPr="007D71A9" w:rsidRDefault="00661A8B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4C812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661A8B" w:rsidRPr="007D71A9" w:rsidRDefault="00661A8B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661A8B" w:rsidRPr="007D71A9" w:rsidRDefault="00661A8B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00A1E01" wp14:editId="3F2DCFCD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5B89B13B" wp14:editId="4C610265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710E2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0A5ADFD" wp14:editId="2F109FD3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1A8B" w:rsidRPr="007D71A9" w:rsidRDefault="00661A8B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</w:t>
                          </w:r>
                          <w:r w:rsidR="00B1745B">
                            <w:rPr>
                              <w:rFonts w:hint="cs"/>
                              <w:cs/>
                            </w:rPr>
                            <w:t>ด้านการชำระเงิน</w:t>
                          </w:r>
                          <w:r w:rsidRPr="007D71A9">
                            <w:t xml:space="preserve"> </w:t>
                          </w:r>
                        </w:p>
                        <w:p w:rsidR="00661A8B" w:rsidRPr="007D71A9" w:rsidRDefault="005A6681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PAYMENT </w:t>
                          </w:r>
                          <w:r w:rsidR="00661A8B" w:rsidRPr="007D71A9">
                            <w:t xml:space="preserve">Data Set </w:t>
                          </w:r>
                          <w:r w:rsidR="00661A8B">
                            <w:t>Manual</w:t>
                          </w:r>
                          <w:r w:rsidR="00661A8B" w:rsidRPr="007D71A9">
                            <w:t xml:space="preserve"> V</w:t>
                          </w:r>
                          <w:r>
                            <w:t>ersion</w:t>
                          </w:r>
                          <w:r w:rsidR="00661A8B" w:rsidRPr="007D71A9">
                            <w:t xml:space="preserve"> </w:t>
                          </w:r>
                          <w:r w:rsidR="00661A8B"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A5ADF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661A8B" w:rsidRPr="007D71A9" w:rsidRDefault="00661A8B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</w:t>
                    </w:r>
                    <w:r w:rsidR="00B1745B">
                      <w:rPr>
                        <w:rFonts w:hint="cs"/>
                        <w:cs/>
                      </w:rPr>
                      <w:t>ด้านการชำระเงิน</w:t>
                    </w:r>
                    <w:r w:rsidRPr="007D71A9">
                      <w:t xml:space="preserve"> </w:t>
                    </w:r>
                  </w:p>
                  <w:p w:rsidR="00661A8B" w:rsidRPr="007D71A9" w:rsidRDefault="005A6681">
                    <w:pPr>
                      <w:spacing w:line="320" w:lineRule="exact"/>
                      <w:jc w:val="right"/>
                    </w:pPr>
                    <w:r>
                      <w:t xml:space="preserve">PAYMENT </w:t>
                    </w:r>
                    <w:r w:rsidR="00661A8B" w:rsidRPr="007D71A9">
                      <w:t xml:space="preserve">Data Set </w:t>
                    </w:r>
                    <w:r w:rsidR="00661A8B">
                      <w:t>Manual</w:t>
                    </w:r>
                    <w:r w:rsidR="00661A8B" w:rsidRPr="007D71A9">
                      <w:t xml:space="preserve"> V</w:t>
                    </w:r>
                    <w:r>
                      <w:t>ersion</w:t>
                    </w:r>
                    <w:r w:rsidR="00661A8B" w:rsidRPr="007D71A9">
                      <w:t xml:space="preserve"> </w:t>
                    </w:r>
                    <w:r w:rsidR="00661A8B">
                      <w:t>1.0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8B" w:rsidRDefault="00661A8B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609B804" wp14:editId="3DE52800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DD075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B3C6AD5" wp14:editId="77DB3741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930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tab/>
    </w:r>
    <w:r>
      <w:tab/>
    </w:r>
  </w:p>
  <w:p w:rsidR="00661A8B" w:rsidRPr="00887C3E" w:rsidRDefault="00661A8B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E3BC90" wp14:editId="4EC5B535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1A8B" w:rsidRPr="007D71A9" w:rsidRDefault="00661A8B" w:rsidP="00A12590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</w:t>
                          </w:r>
                          <w:r w:rsidR="00B1745B">
                            <w:rPr>
                              <w:rFonts w:hint="cs"/>
                              <w:cs/>
                            </w:rPr>
                            <w:t>ด้านการชำระเงิน</w:t>
                          </w:r>
                          <w:r w:rsidRPr="007D71A9">
                            <w:t xml:space="preserve"> </w:t>
                          </w:r>
                        </w:p>
                        <w:p w:rsidR="00661A8B" w:rsidRPr="007D71A9" w:rsidRDefault="005A6681" w:rsidP="00A12590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PAYMENT </w:t>
                          </w:r>
                          <w:r w:rsidR="00661A8B" w:rsidRPr="007D71A9">
                            <w:t xml:space="preserve">Data Set </w:t>
                          </w:r>
                          <w:r w:rsidR="00661A8B">
                            <w:t>Manual</w:t>
                          </w:r>
                          <w:r w:rsidR="00661A8B" w:rsidRPr="007D71A9">
                            <w:t xml:space="preserve"> V</w:t>
                          </w:r>
                          <w:r>
                            <w:t>ersion</w:t>
                          </w:r>
                          <w:r w:rsidR="00661A8B" w:rsidRPr="007D71A9">
                            <w:t xml:space="preserve"> </w:t>
                          </w:r>
                          <w:r w:rsidR="00661A8B"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3BC9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" filled="f" stroked="f">
              <v:textbox>
                <w:txbxContent>
                  <w:p w:rsidR="00661A8B" w:rsidRPr="007D71A9" w:rsidRDefault="00661A8B" w:rsidP="00A12590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</w:t>
                    </w:r>
                    <w:r w:rsidR="00B1745B">
                      <w:rPr>
                        <w:rFonts w:hint="cs"/>
                        <w:cs/>
                      </w:rPr>
                      <w:t>ด้านการชำระเงิน</w:t>
                    </w:r>
                    <w:r w:rsidRPr="007D71A9">
                      <w:t xml:space="preserve"> </w:t>
                    </w:r>
                  </w:p>
                  <w:p w:rsidR="00661A8B" w:rsidRPr="007D71A9" w:rsidRDefault="005A6681" w:rsidP="00A12590">
                    <w:pPr>
                      <w:spacing w:line="320" w:lineRule="exact"/>
                      <w:jc w:val="right"/>
                    </w:pPr>
                    <w:r>
                      <w:t xml:space="preserve">PAYMENT </w:t>
                    </w:r>
                    <w:r w:rsidR="00661A8B" w:rsidRPr="007D71A9">
                      <w:t xml:space="preserve">Data Set </w:t>
                    </w:r>
                    <w:r w:rsidR="00661A8B">
                      <w:t>Manual</w:t>
                    </w:r>
                    <w:r w:rsidR="00661A8B" w:rsidRPr="007D71A9">
                      <w:t xml:space="preserve"> V</w:t>
                    </w:r>
                    <w:r>
                      <w:t>ersion</w:t>
                    </w:r>
                    <w:r w:rsidR="00661A8B" w:rsidRPr="007D71A9">
                      <w:t xml:space="preserve"> </w:t>
                    </w:r>
                    <w:r w:rsidR="00661A8B">
                      <w:t>1.0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58461" wp14:editId="617433B6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1A8B" w:rsidRPr="007D71A9" w:rsidRDefault="00661A8B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61A8B" w:rsidRPr="007D71A9" w:rsidRDefault="00661A8B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C58461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rousl&#10;3AAAAAcBAAAPAAAAAAAAAAAAAAAAABQFAABkcnMvZG93bnJldi54bWxQSwUGAAAAAAQABADzAAAA&#10;HQYAAAAA&#10;" filled="f" stroked="f">
              <v:textbox>
                <w:txbxContent>
                  <w:p w:rsidR="00661A8B" w:rsidRPr="007D71A9" w:rsidRDefault="00661A8B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661A8B" w:rsidRPr="007D71A9" w:rsidRDefault="00661A8B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 w:rsidRPr="00887C3E">
      <w:rPr>
        <w:b/>
        <w:bCs/>
      </w:rPr>
      <w:t xml:space="preserve">- </w:t>
    </w:r>
    <w:r w:rsidRPr="00887C3E">
      <w:rPr>
        <w:b/>
        <w:bCs/>
      </w:rPr>
      <w:fldChar w:fldCharType="begin"/>
    </w:r>
    <w:r w:rsidRPr="00887C3E">
      <w:rPr>
        <w:b/>
        <w:bCs/>
      </w:rPr>
      <w:instrText xml:space="preserve"> PAGE   \* MERGEFORMAT </w:instrText>
    </w:r>
    <w:r w:rsidRPr="00887C3E">
      <w:rPr>
        <w:b/>
        <w:bCs/>
      </w:rPr>
      <w:fldChar w:fldCharType="separate"/>
    </w:r>
    <w:r w:rsidR="007442FE">
      <w:rPr>
        <w:b/>
        <w:bCs/>
        <w:noProof/>
      </w:rPr>
      <w:t>13</w:t>
    </w:r>
    <w:r w:rsidRPr="00887C3E">
      <w:rPr>
        <w:b/>
        <w:bCs/>
      </w:rPr>
      <w:fldChar w:fldCharType="end"/>
    </w:r>
    <w:r w:rsidRPr="00887C3E">
      <w:rPr>
        <w:b/>
        <w:b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12D" w:rsidRDefault="002A312D" w:rsidP="00917C33">
      <w:r>
        <w:separator/>
      </w:r>
    </w:p>
  </w:footnote>
  <w:footnote w:type="continuationSeparator" w:id="0">
    <w:p w:rsidR="002A312D" w:rsidRDefault="002A312D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8B" w:rsidRDefault="00661A8B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2A001BD5" wp14:editId="61388A54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511F9979" wp14:editId="444F9272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CBCA7C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 w:rsidR="002348BA">
      <w:rPr>
        <w:noProof/>
      </w:rPr>
      <w:drawing>
        <wp:anchor distT="0" distB="0" distL="114300" distR="114300" simplePos="0" relativeHeight="251665920" behindDoc="0" locked="0" layoutInCell="1" allowOverlap="1" wp14:anchorId="78CC91CD" wp14:editId="5B026F90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8B" w:rsidRDefault="00661A8B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512735A" wp14:editId="5FE04012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3906D8F7" wp14:editId="56BE612F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0A31FAA" wp14:editId="6D02A38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A88AB8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82D77"/>
    <w:multiLevelType w:val="hybridMultilevel"/>
    <w:tmpl w:val="6DD85C86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">
    <w:nsid w:val="31E96C26"/>
    <w:multiLevelType w:val="hybridMultilevel"/>
    <w:tmpl w:val="153CFFDC"/>
    <w:lvl w:ilvl="0" w:tplc="F048C2FE">
      <w:start w:val="599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3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166C1"/>
    <w:rsid w:val="000261B0"/>
    <w:rsid w:val="000261BF"/>
    <w:rsid w:val="000264CA"/>
    <w:rsid w:val="0002716B"/>
    <w:rsid w:val="00031B36"/>
    <w:rsid w:val="0003316E"/>
    <w:rsid w:val="00036462"/>
    <w:rsid w:val="0004425B"/>
    <w:rsid w:val="00051183"/>
    <w:rsid w:val="000550D4"/>
    <w:rsid w:val="00057C7A"/>
    <w:rsid w:val="00061404"/>
    <w:rsid w:val="00064BF1"/>
    <w:rsid w:val="000667B9"/>
    <w:rsid w:val="00081C02"/>
    <w:rsid w:val="00084C8A"/>
    <w:rsid w:val="00087ACD"/>
    <w:rsid w:val="000918BB"/>
    <w:rsid w:val="00094174"/>
    <w:rsid w:val="0009699A"/>
    <w:rsid w:val="000A0944"/>
    <w:rsid w:val="000A7515"/>
    <w:rsid w:val="000B1A23"/>
    <w:rsid w:val="000B5589"/>
    <w:rsid w:val="000B5B16"/>
    <w:rsid w:val="000C16CF"/>
    <w:rsid w:val="000D5181"/>
    <w:rsid w:val="000E31BA"/>
    <w:rsid w:val="000E40F1"/>
    <w:rsid w:val="000F21D9"/>
    <w:rsid w:val="000F2930"/>
    <w:rsid w:val="000F2D01"/>
    <w:rsid w:val="000F384B"/>
    <w:rsid w:val="00112D9C"/>
    <w:rsid w:val="0011404A"/>
    <w:rsid w:val="001214EB"/>
    <w:rsid w:val="0012222D"/>
    <w:rsid w:val="00122293"/>
    <w:rsid w:val="00122A88"/>
    <w:rsid w:val="00123DEC"/>
    <w:rsid w:val="00125328"/>
    <w:rsid w:val="0012697F"/>
    <w:rsid w:val="001324B4"/>
    <w:rsid w:val="00137E08"/>
    <w:rsid w:val="001449D7"/>
    <w:rsid w:val="001632D5"/>
    <w:rsid w:val="00166436"/>
    <w:rsid w:val="00167984"/>
    <w:rsid w:val="0017515A"/>
    <w:rsid w:val="00176AA8"/>
    <w:rsid w:val="00181CC9"/>
    <w:rsid w:val="00182A21"/>
    <w:rsid w:val="00182A95"/>
    <w:rsid w:val="00186C6D"/>
    <w:rsid w:val="00190E21"/>
    <w:rsid w:val="001958B2"/>
    <w:rsid w:val="001971DF"/>
    <w:rsid w:val="001A35CD"/>
    <w:rsid w:val="001B5CEC"/>
    <w:rsid w:val="001C0F24"/>
    <w:rsid w:val="001C1C6A"/>
    <w:rsid w:val="001D3373"/>
    <w:rsid w:val="001E07DD"/>
    <w:rsid w:val="001E2A29"/>
    <w:rsid w:val="001F61D4"/>
    <w:rsid w:val="00201488"/>
    <w:rsid w:val="00212A06"/>
    <w:rsid w:val="00217B83"/>
    <w:rsid w:val="00220A5A"/>
    <w:rsid w:val="00225270"/>
    <w:rsid w:val="00232ABA"/>
    <w:rsid w:val="00232D2A"/>
    <w:rsid w:val="00234612"/>
    <w:rsid w:val="002348BA"/>
    <w:rsid w:val="00237D30"/>
    <w:rsid w:val="0024463A"/>
    <w:rsid w:val="0025009D"/>
    <w:rsid w:val="0025129C"/>
    <w:rsid w:val="00251825"/>
    <w:rsid w:val="00253A33"/>
    <w:rsid w:val="002609FB"/>
    <w:rsid w:val="00264622"/>
    <w:rsid w:val="00264E30"/>
    <w:rsid w:val="00265BE1"/>
    <w:rsid w:val="00270995"/>
    <w:rsid w:val="0027546E"/>
    <w:rsid w:val="00276BDE"/>
    <w:rsid w:val="00284C64"/>
    <w:rsid w:val="00291379"/>
    <w:rsid w:val="00294C61"/>
    <w:rsid w:val="002A048F"/>
    <w:rsid w:val="002A0789"/>
    <w:rsid w:val="002A312D"/>
    <w:rsid w:val="002A3846"/>
    <w:rsid w:val="002A4747"/>
    <w:rsid w:val="002B3064"/>
    <w:rsid w:val="002B31F6"/>
    <w:rsid w:val="002C06F2"/>
    <w:rsid w:val="002C3CA0"/>
    <w:rsid w:val="002C6041"/>
    <w:rsid w:val="002D1591"/>
    <w:rsid w:val="002D2141"/>
    <w:rsid w:val="002E1B21"/>
    <w:rsid w:val="002E3E5B"/>
    <w:rsid w:val="002E4903"/>
    <w:rsid w:val="002E5B57"/>
    <w:rsid w:val="00305085"/>
    <w:rsid w:val="003058B3"/>
    <w:rsid w:val="0030656E"/>
    <w:rsid w:val="0030753E"/>
    <w:rsid w:val="00310082"/>
    <w:rsid w:val="00311856"/>
    <w:rsid w:val="00320478"/>
    <w:rsid w:val="00321C21"/>
    <w:rsid w:val="00333EF5"/>
    <w:rsid w:val="00342435"/>
    <w:rsid w:val="00342D24"/>
    <w:rsid w:val="003536AF"/>
    <w:rsid w:val="00357F00"/>
    <w:rsid w:val="00365319"/>
    <w:rsid w:val="003678E9"/>
    <w:rsid w:val="0038385F"/>
    <w:rsid w:val="00393875"/>
    <w:rsid w:val="00396C5E"/>
    <w:rsid w:val="003970D2"/>
    <w:rsid w:val="003A0785"/>
    <w:rsid w:val="003A09CF"/>
    <w:rsid w:val="003A2FA3"/>
    <w:rsid w:val="003B5333"/>
    <w:rsid w:val="003C2387"/>
    <w:rsid w:val="003C52FB"/>
    <w:rsid w:val="003C6671"/>
    <w:rsid w:val="003D078D"/>
    <w:rsid w:val="003D34A9"/>
    <w:rsid w:val="003E0285"/>
    <w:rsid w:val="003E5B64"/>
    <w:rsid w:val="003E7E85"/>
    <w:rsid w:val="003F4192"/>
    <w:rsid w:val="003F483D"/>
    <w:rsid w:val="003F5B92"/>
    <w:rsid w:val="004008BA"/>
    <w:rsid w:val="004062C3"/>
    <w:rsid w:val="004122DD"/>
    <w:rsid w:val="00412F54"/>
    <w:rsid w:val="00422B11"/>
    <w:rsid w:val="00451D65"/>
    <w:rsid w:val="00455C1A"/>
    <w:rsid w:val="00470D45"/>
    <w:rsid w:val="00470DF3"/>
    <w:rsid w:val="0047221F"/>
    <w:rsid w:val="00472401"/>
    <w:rsid w:val="00487F4C"/>
    <w:rsid w:val="00493BD4"/>
    <w:rsid w:val="004A1FF8"/>
    <w:rsid w:val="004A4E0B"/>
    <w:rsid w:val="004A637E"/>
    <w:rsid w:val="004B1724"/>
    <w:rsid w:val="004B40D6"/>
    <w:rsid w:val="004D42BE"/>
    <w:rsid w:val="004D6EAF"/>
    <w:rsid w:val="004E5114"/>
    <w:rsid w:val="004E760F"/>
    <w:rsid w:val="00505B33"/>
    <w:rsid w:val="0050623F"/>
    <w:rsid w:val="005074FE"/>
    <w:rsid w:val="00507B26"/>
    <w:rsid w:val="0051087F"/>
    <w:rsid w:val="00510AE0"/>
    <w:rsid w:val="00517925"/>
    <w:rsid w:val="00530E42"/>
    <w:rsid w:val="00534F87"/>
    <w:rsid w:val="00544BB6"/>
    <w:rsid w:val="00547AF6"/>
    <w:rsid w:val="005515D7"/>
    <w:rsid w:val="00553553"/>
    <w:rsid w:val="00554B84"/>
    <w:rsid w:val="005572B2"/>
    <w:rsid w:val="00562372"/>
    <w:rsid w:val="0056743E"/>
    <w:rsid w:val="0058070B"/>
    <w:rsid w:val="005847E5"/>
    <w:rsid w:val="00590733"/>
    <w:rsid w:val="005A2F8D"/>
    <w:rsid w:val="005A496F"/>
    <w:rsid w:val="005A4B3B"/>
    <w:rsid w:val="005A520E"/>
    <w:rsid w:val="005A6681"/>
    <w:rsid w:val="005A78BB"/>
    <w:rsid w:val="005B7009"/>
    <w:rsid w:val="005C3B95"/>
    <w:rsid w:val="005C6705"/>
    <w:rsid w:val="005D1442"/>
    <w:rsid w:val="005D26F1"/>
    <w:rsid w:val="005E5B99"/>
    <w:rsid w:val="005F0248"/>
    <w:rsid w:val="005F4C1B"/>
    <w:rsid w:val="006000EF"/>
    <w:rsid w:val="006116C5"/>
    <w:rsid w:val="00617CA7"/>
    <w:rsid w:val="00620D32"/>
    <w:rsid w:val="006211AE"/>
    <w:rsid w:val="00627EEE"/>
    <w:rsid w:val="00633CA0"/>
    <w:rsid w:val="00634251"/>
    <w:rsid w:val="0063465E"/>
    <w:rsid w:val="00637066"/>
    <w:rsid w:val="00641AF6"/>
    <w:rsid w:val="006426AB"/>
    <w:rsid w:val="00647D10"/>
    <w:rsid w:val="00656BF8"/>
    <w:rsid w:val="00657F71"/>
    <w:rsid w:val="00661A8B"/>
    <w:rsid w:val="006724AC"/>
    <w:rsid w:val="00673C5B"/>
    <w:rsid w:val="00680570"/>
    <w:rsid w:val="00682880"/>
    <w:rsid w:val="006A3E1B"/>
    <w:rsid w:val="006A554F"/>
    <w:rsid w:val="006A7955"/>
    <w:rsid w:val="006B0234"/>
    <w:rsid w:val="006B3083"/>
    <w:rsid w:val="006B6EB3"/>
    <w:rsid w:val="006C2883"/>
    <w:rsid w:val="006C5F20"/>
    <w:rsid w:val="006C660E"/>
    <w:rsid w:val="006D0BBE"/>
    <w:rsid w:val="006D6F70"/>
    <w:rsid w:val="006F0C95"/>
    <w:rsid w:val="00710FDB"/>
    <w:rsid w:val="0071160E"/>
    <w:rsid w:val="00716F10"/>
    <w:rsid w:val="00730F13"/>
    <w:rsid w:val="007340D1"/>
    <w:rsid w:val="00734508"/>
    <w:rsid w:val="007400E8"/>
    <w:rsid w:val="007442FE"/>
    <w:rsid w:val="007449BD"/>
    <w:rsid w:val="007461C4"/>
    <w:rsid w:val="00754A43"/>
    <w:rsid w:val="00792392"/>
    <w:rsid w:val="007A410A"/>
    <w:rsid w:val="007A61BD"/>
    <w:rsid w:val="007D1B53"/>
    <w:rsid w:val="007D1E77"/>
    <w:rsid w:val="007D3F61"/>
    <w:rsid w:val="007E619A"/>
    <w:rsid w:val="007F1FA4"/>
    <w:rsid w:val="00802095"/>
    <w:rsid w:val="00802C4B"/>
    <w:rsid w:val="008225FD"/>
    <w:rsid w:val="00823300"/>
    <w:rsid w:val="0082490A"/>
    <w:rsid w:val="00825403"/>
    <w:rsid w:val="0082629F"/>
    <w:rsid w:val="00827416"/>
    <w:rsid w:val="00836551"/>
    <w:rsid w:val="008367B3"/>
    <w:rsid w:val="00843D7B"/>
    <w:rsid w:val="00844EA2"/>
    <w:rsid w:val="00846358"/>
    <w:rsid w:val="00850113"/>
    <w:rsid w:val="00857130"/>
    <w:rsid w:val="00887C3E"/>
    <w:rsid w:val="008A636C"/>
    <w:rsid w:val="008B3642"/>
    <w:rsid w:val="008C581A"/>
    <w:rsid w:val="008C7183"/>
    <w:rsid w:val="008D1E36"/>
    <w:rsid w:val="008D452F"/>
    <w:rsid w:val="008D4FCB"/>
    <w:rsid w:val="008F34BF"/>
    <w:rsid w:val="008F4437"/>
    <w:rsid w:val="008F50E6"/>
    <w:rsid w:val="008F590F"/>
    <w:rsid w:val="00903546"/>
    <w:rsid w:val="009037DE"/>
    <w:rsid w:val="00910AA0"/>
    <w:rsid w:val="00916D95"/>
    <w:rsid w:val="00917C33"/>
    <w:rsid w:val="00927EB4"/>
    <w:rsid w:val="009351D7"/>
    <w:rsid w:val="009360C2"/>
    <w:rsid w:val="00946409"/>
    <w:rsid w:val="009470FA"/>
    <w:rsid w:val="0094775F"/>
    <w:rsid w:val="00954563"/>
    <w:rsid w:val="0096433E"/>
    <w:rsid w:val="00972F7D"/>
    <w:rsid w:val="0098248A"/>
    <w:rsid w:val="009855B3"/>
    <w:rsid w:val="009870DD"/>
    <w:rsid w:val="009908C5"/>
    <w:rsid w:val="00995658"/>
    <w:rsid w:val="009A273F"/>
    <w:rsid w:val="009A3C0E"/>
    <w:rsid w:val="009A3CCF"/>
    <w:rsid w:val="009B14F3"/>
    <w:rsid w:val="009D01FC"/>
    <w:rsid w:val="009D39FF"/>
    <w:rsid w:val="009E077E"/>
    <w:rsid w:val="009E0CC4"/>
    <w:rsid w:val="009E2B63"/>
    <w:rsid w:val="009E529E"/>
    <w:rsid w:val="009E53BE"/>
    <w:rsid w:val="009F02E7"/>
    <w:rsid w:val="009F588E"/>
    <w:rsid w:val="00A033BA"/>
    <w:rsid w:val="00A118EC"/>
    <w:rsid w:val="00A12590"/>
    <w:rsid w:val="00A205A2"/>
    <w:rsid w:val="00A239C7"/>
    <w:rsid w:val="00A27DE4"/>
    <w:rsid w:val="00A3124C"/>
    <w:rsid w:val="00A32D0D"/>
    <w:rsid w:val="00A332CE"/>
    <w:rsid w:val="00A3491B"/>
    <w:rsid w:val="00A41625"/>
    <w:rsid w:val="00A4492C"/>
    <w:rsid w:val="00A458C2"/>
    <w:rsid w:val="00A53092"/>
    <w:rsid w:val="00A6497D"/>
    <w:rsid w:val="00A66692"/>
    <w:rsid w:val="00A6794E"/>
    <w:rsid w:val="00A754B5"/>
    <w:rsid w:val="00A80CDA"/>
    <w:rsid w:val="00A835F3"/>
    <w:rsid w:val="00A8710E"/>
    <w:rsid w:val="00AA2354"/>
    <w:rsid w:val="00AB00ED"/>
    <w:rsid w:val="00AB1764"/>
    <w:rsid w:val="00AB3CC3"/>
    <w:rsid w:val="00AB7245"/>
    <w:rsid w:val="00AC3257"/>
    <w:rsid w:val="00AC38F1"/>
    <w:rsid w:val="00AC69BB"/>
    <w:rsid w:val="00AE3B04"/>
    <w:rsid w:val="00AE45E5"/>
    <w:rsid w:val="00AF0B27"/>
    <w:rsid w:val="00AF69A9"/>
    <w:rsid w:val="00B00B77"/>
    <w:rsid w:val="00B02BFD"/>
    <w:rsid w:val="00B04479"/>
    <w:rsid w:val="00B12DC9"/>
    <w:rsid w:val="00B1350A"/>
    <w:rsid w:val="00B16F54"/>
    <w:rsid w:val="00B1745B"/>
    <w:rsid w:val="00B22600"/>
    <w:rsid w:val="00B2783F"/>
    <w:rsid w:val="00B30D72"/>
    <w:rsid w:val="00B31BD3"/>
    <w:rsid w:val="00B33F06"/>
    <w:rsid w:val="00B3633D"/>
    <w:rsid w:val="00B415DC"/>
    <w:rsid w:val="00B41848"/>
    <w:rsid w:val="00B50030"/>
    <w:rsid w:val="00B54CF3"/>
    <w:rsid w:val="00B54D85"/>
    <w:rsid w:val="00B62AC2"/>
    <w:rsid w:val="00B654C4"/>
    <w:rsid w:val="00B662E3"/>
    <w:rsid w:val="00B71B4F"/>
    <w:rsid w:val="00B73A0A"/>
    <w:rsid w:val="00B7536F"/>
    <w:rsid w:val="00B75446"/>
    <w:rsid w:val="00B800F6"/>
    <w:rsid w:val="00B86569"/>
    <w:rsid w:val="00B869E0"/>
    <w:rsid w:val="00B916AF"/>
    <w:rsid w:val="00B9751D"/>
    <w:rsid w:val="00BA4E05"/>
    <w:rsid w:val="00BB5C7C"/>
    <w:rsid w:val="00BC3188"/>
    <w:rsid w:val="00BD064B"/>
    <w:rsid w:val="00BD27B0"/>
    <w:rsid w:val="00BD2D01"/>
    <w:rsid w:val="00C03BB8"/>
    <w:rsid w:val="00C043C3"/>
    <w:rsid w:val="00C04C60"/>
    <w:rsid w:val="00C13BBE"/>
    <w:rsid w:val="00C14224"/>
    <w:rsid w:val="00C144B7"/>
    <w:rsid w:val="00C16934"/>
    <w:rsid w:val="00C25210"/>
    <w:rsid w:val="00C2637B"/>
    <w:rsid w:val="00C312A3"/>
    <w:rsid w:val="00C42A08"/>
    <w:rsid w:val="00C4611C"/>
    <w:rsid w:val="00C563A2"/>
    <w:rsid w:val="00C642A4"/>
    <w:rsid w:val="00C81574"/>
    <w:rsid w:val="00C82F8B"/>
    <w:rsid w:val="00C83632"/>
    <w:rsid w:val="00C8714D"/>
    <w:rsid w:val="00C91F6C"/>
    <w:rsid w:val="00C9257D"/>
    <w:rsid w:val="00C93448"/>
    <w:rsid w:val="00C964A7"/>
    <w:rsid w:val="00CA21E5"/>
    <w:rsid w:val="00CA635A"/>
    <w:rsid w:val="00CA639A"/>
    <w:rsid w:val="00CB3965"/>
    <w:rsid w:val="00CB5C96"/>
    <w:rsid w:val="00CC755E"/>
    <w:rsid w:val="00CD64A3"/>
    <w:rsid w:val="00CD6C87"/>
    <w:rsid w:val="00CE0EB4"/>
    <w:rsid w:val="00CE2989"/>
    <w:rsid w:val="00CE3301"/>
    <w:rsid w:val="00CE67E9"/>
    <w:rsid w:val="00CE77DF"/>
    <w:rsid w:val="00CF70F6"/>
    <w:rsid w:val="00D00D59"/>
    <w:rsid w:val="00D02563"/>
    <w:rsid w:val="00D0738E"/>
    <w:rsid w:val="00D151CC"/>
    <w:rsid w:val="00D2330D"/>
    <w:rsid w:val="00D252C3"/>
    <w:rsid w:val="00D25FB0"/>
    <w:rsid w:val="00D27460"/>
    <w:rsid w:val="00D30D07"/>
    <w:rsid w:val="00D3574E"/>
    <w:rsid w:val="00D42B51"/>
    <w:rsid w:val="00D51E3A"/>
    <w:rsid w:val="00D60074"/>
    <w:rsid w:val="00D605BD"/>
    <w:rsid w:val="00D637D1"/>
    <w:rsid w:val="00D65191"/>
    <w:rsid w:val="00D667EE"/>
    <w:rsid w:val="00D75B95"/>
    <w:rsid w:val="00D835BB"/>
    <w:rsid w:val="00D94798"/>
    <w:rsid w:val="00D95698"/>
    <w:rsid w:val="00D95ADC"/>
    <w:rsid w:val="00D97348"/>
    <w:rsid w:val="00DA0D28"/>
    <w:rsid w:val="00DB119E"/>
    <w:rsid w:val="00DB3831"/>
    <w:rsid w:val="00DC0D5A"/>
    <w:rsid w:val="00DC5678"/>
    <w:rsid w:val="00DC5E12"/>
    <w:rsid w:val="00DC727A"/>
    <w:rsid w:val="00DD72A8"/>
    <w:rsid w:val="00DE4E22"/>
    <w:rsid w:val="00DF4C84"/>
    <w:rsid w:val="00DF537C"/>
    <w:rsid w:val="00DF5D94"/>
    <w:rsid w:val="00E007E5"/>
    <w:rsid w:val="00E01E30"/>
    <w:rsid w:val="00E066E8"/>
    <w:rsid w:val="00E06DFE"/>
    <w:rsid w:val="00E07528"/>
    <w:rsid w:val="00E23E58"/>
    <w:rsid w:val="00E25B2C"/>
    <w:rsid w:val="00E27256"/>
    <w:rsid w:val="00E303C6"/>
    <w:rsid w:val="00E401EE"/>
    <w:rsid w:val="00E40E14"/>
    <w:rsid w:val="00E41428"/>
    <w:rsid w:val="00E422EE"/>
    <w:rsid w:val="00E50E66"/>
    <w:rsid w:val="00E570BD"/>
    <w:rsid w:val="00E601BB"/>
    <w:rsid w:val="00E66A11"/>
    <w:rsid w:val="00E672BD"/>
    <w:rsid w:val="00E67DEC"/>
    <w:rsid w:val="00E804C7"/>
    <w:rsid w:val="00E816C3"/>
    <w:rsid w:val="00E84877"/>
    <w:rsid w:val="00E8586D"/>
    <w:rsid w:val="00E903F4"/>
    <w:rsid w:val="00EA4294"/>
    <w:rsid w:val="00EB1689"/>
    <w:rsid w:val="00EB6994"/>
    <w:rsid w:val="00EC1F29"/>
    <w:rsid w:val="00EC3C97"/>
    <w:rsid w:val="00EC74F5"/>
    <w:rsid w:val="00ED5C5F"/>
    <w:rsid w:val="00EE6765"/>
    <w:rsid w:val="00EE76AB"/>
    <w:rsid w:val="00F0052E"/>
    <w:rsid w:val="00F02EC5"/>
    <w:rsid w:val="00F07EBA"/>
    <w:rsid w:val="00F106DC"/>
    <w:rsid w:val="00F129FF"/>
    <w:rsid w:val="00F16080"/>
    <w:rsid w:val="00F21449"/>
    <w:rsid w:val="00F218B3"/>
    <w:rsid w:val="00F227AC"/>
    <w:rsid w:val="00F230AE"/>
    <w:rsid w:val="00F27E9F"/>
    <w:rsid w:val="00F455D2"/>
    <w:rsid w:val="00F517AB"/>
    <w:rsid w:val="00F56FA4"/>
    <w:rsid w:val="00F64768"/>
    <w:rsid w:val="00F65695"/>
    <w:rsid w:val="00F65FB1"/>
    <w:rsid w:val="00F67988"/>
    <w:rsid w:val="00F76C03"/>
    <w:rsid w:val="00F819CD"/>
    <w:rsid w:val="00F83D6B"/>
    <w:rsid w:val="00F83D6F"/>
    <w:rsid w:val="00F84310"/>
    <w:rsid w:val="00F9363A"/>
    <w:rsid w:val="00FA2145"/>
    <w:rsid w:val="00FA23E8"/>
    <w:rsid w:val="00FA690A"/>
    <w:rsid w:val="00FB099A"/>
    <w:rsid w:val="00FC495E"/>
    <w:rsid w:val="00FD7007"/>
    <w:rsid w:val="00FE18F5"/>
    <w:rsid w:val="00FE6B53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C24F32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4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3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855B3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C5331F3-15FC-4D66-9AFB-3750F757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1364</Words>
  <Characters>7776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Current</vt:lpstr>
      <vt:lpstr>Data Set</vt:lpstr>
      <vt:lpstr>    Subject Area: Payment</vt:lpstr>
      <vt:lpstr>        Data Set  :  Card Usage Summary (DS_CUS)</vt:lpstr>
      <vt:lpstr>        Data Set  :  Electronic Banking Services Summary (DS_EBS)</vt:lpstr>
      <vt:lpstr>Appendix A.  ความสัมพันธ์ระหว่าง Data Element กับ Classification : Transaction P</vt:lpstr>
      <vt:lpstr>Appendix B.  รายละเอียดการรายงานข้อมูลผู้ทำธุรกรรมเงินตราต่างประเทศและบัญชีเงินบ</vt:lpstr>
    </vt:vector>
  </TitlesOfParts>
  <Company>Bank of Thailand</Company>
  <LinksUpToDate>false</LinksUpToDate>
  <CharactersWithSpaces>9122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SDMaster</cp:lastModifiedBy>
  <cp:revision>20</cp:revision>
  <cp:lastPrinted>2016-11-28T06:12:00Z</cp:lastPrinted>
  <dcterms:created xsi:type="dcterms:W3CDTF">2018-12-19T04:34:00Z</dcterms:created>
  <dcterms:modified xsi:type="dcterms:W3CDTF">2018-12-24T04:07:00Z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