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E2F9E7" w14:textId="77777777" w:rsidR="006D085B" w:rsidRPr="003B18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3B188E">
        <w:rPr>
          <w:rFonts w:cs="Tahoma"/>
          <w:sz w:val="20"/>
          <w:szCs w:val="20"/>
        </w:rPr>
        <w:t>Summary of changes on “</w:t>
      </w:r>
      <w:r w:rsidR="002E3F63" w:rsidRPr="003B188E">
        <w:rPr>
          <w:rFonts w:cs="Tahoma"/>
          <w:sz w:val="20"/>
          <w:szCs w:val="20"/>
          <w:u w:val="single"/>
        </w:rPr>
        <w:t>PLR</w:t>
      </w:r>
      <w:r w:rsidRPr="003B188E">
        <w:rPr>
          <w:rFonts w:cs="Tahoma"/>
          <w:sz w:val="20"/>
          <w:szCs w:val="20"/>
          <w:u w:val="single"/>
        </w:rPr>
        <w:t xml:space="preserve"> Data Set Document</w:t>
      </w:r>
      <w:r w:rsidR="00BC3127">
        <w:rPr>
          <w:rFonts w:cs="Tahoma"/>
          <w:sz w:val="20"/>
          <w:szCs w:val="20"/>
        </w:rPr>
        <w:t>”</w:t>
      </w:r>
    </w:p>
    <w:p w14:paraId="399A003D" w14:textId="77777777" w:rsidR="006D085B" w:rsidRPr="003B18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 w:rsidRPr="003B188E">
        <w:rPr>
          <w:rFonts w:cs="Tahoma"/>
          <w:sz w:val="20"/>
          <w:szCs w:val="20"/>
        </w:rPr>
        <w:t xml:space="preserve">Update on </w:t>
      </w:r>
      <w:r w:rsidR="002E3F63" w:rsidRPr="003B188E">
        <w:rPr>
          <w:rFonts w:cs="Tahoma"/>
          <w:sz w:val="20"/>
          <w:szCs w:val="20"/>
        </w:rPr>
        <w:t>PLR</w:t>
      </w:r>
      <w:r w:rsidRPr="003B188E">
        <w:rPr>
          <w:rFonts w:cs="Tahoma"/>
          <w:sz w:val="20"/>
          <w:szCs w:val="20"/>
        </w:rPr>
        <w:t xml:space="preserve"> Data Set Document version </w:t>
      </w:r>
      <w:r w:rsidR="00F30A24" w:rsidRPr="003B188E">
        <w:rPr>
          <w:rFonts w:cs="Tahoma"/>
          <w:sz w:val="20"/>
          <w:szCs w:val="20"/>
        </w:rPr>
        <w:t>1</w:t>
      </w:r>
      <w:r w:rsidR="005F2D66">
        <w:rPr>
          <w:rFonts w:cs="Tahoma"/>
          <w:sz w:val="20"/>
          <w:szCs w:val="20"/>
        </w:rPr>
        <w:t>.3</w:t>
      </w:r>
    </w:p>
    <w:p w14:paraId="6407FE86" w14:textId="77777777" w:rsidR="00ED6BFB" w:rsidRPr="002B2945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FF0000"/>
          <w:sz w:val="20"/>
          <w:szCs w:val="20"/>
          <w:lang w:bidi="th-TH"/>
        </w:rPr>
      </w:pPr>
      <w:r w:rsidRPr="003B188E">
        <w:rPr>
          <w:rFonts w:cs="Tahoma"/>
          <w:sz w:val="20"/>
          <w:szCs w:val="20"/>
        </w:rPr>
        <w:t>Remark: All chang</w:t>
      </w:r>
      <w:r w:rsidR="005F2D66">
        <w:rPr>
          <w:rFonts w:cs="Tahoma"/>
          <w:sz w:val="20"/>
          <w:szCs w:val="20"/>
        </w:rPr>
        <w:t>es from version 1.2 to version 1.3</w:t>
      </w:r>
      <w:r w:rsidRPr="003B188E">
        <w:rPr>
          <w:rFonts w:cs="Tahoma"/>
          <w:sz w:val="20"/>
          <w:szCs w:val="20"/>
        </w:rPr>
        <w:t xml:space="preserve"> are in </w:t>
      </w:r>
      <w:r w:rsidR="005F2D66" w:rsidRPr="005F2D66">
        <w:rPr>
          <w:rFonts w:cs="Tahoma"/>
          <w:color w:val="00B050"/>
          <w:sz w:val="20"/>
          <w:szCs w:val="20"/>
        </w:rPr>
        <w:t>green</w:t>
      </w:r>
      <w:r w:rsidRPr="005F2D66">
        <w:rPr>
          <w:rFonts w:cs="Tahoma"/>
          <w:color w:val="00B050"/>
          <w:sz w:val="20"/>
          <w:szCs w:val="20"/>
        </w:rPr>
        <w:t xml:space="preserve"> font</w:t>
      </w:r>
      <w:r w:rsidR="002B2945">
        <w:rPr>
          <w:rFonts w:cs="Tahoma"/>
          <w:color w:val="00B050"/>
          <w:sz w:val="20"/>
          <w:szCs w:val="20"/>
        </w:rPr>
        <w:t xml:space="preserve"> </w:t>
      </w:r>
      <w:r w:rsidR="002B2945" w:rsidRPr="002B2945">
        <w:rPr>
          <w:rFonts w:cs="Tahoma"/>
          <w:sz w:val="20"/>
          <w:szCs w:val="20"/>
          <w:lang w:bidi="th-TH"/>
        </w:rPr>
        <w:t>and</w:t>
      </w:r>
      <w:r w:rsidR="002B2945">
        <w:rPr>
          <w:rFonts w:cs="Tahoma"/>
          <w:color w:val="00B050"/>
          <w:sz w:val="20"/>
          <w:szCs w:val="20"/>
          <w:lang w:bidi="th-TH"/>
        </w:rPr>
        <w:t xml:space="preserve"> </w:t>
      </w:r>
      <w:r w:rsidR="002B2945" w:rsidRPr="002B2945">
        <w:rPr>
          <w:rFonts w:cs="Tahoma"/>
          <w:color w:val="808080" w:themeColor="background1" w:themeShade="80"/>
          <w:sz w:val="20"/>
          <w:szCs w:val="20"/>
          <w:lang w:bidi="th-TH"/>
        </w:rPr>
        <w:t>grey font.</w:t>
      </w:r>
    </w:p>
    <w:tbl>
      <w:tblPr>
        <w:tblW w:w="1449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1113"/>
        <w:gridCol w:w="4173"/>
        <w:gridCol w:w="2489"/>
        <w:gridCol w:w="5611"/>
      </w:tblGrid>
      <w:tr w:rsidR="00ED6BFB" w:rsidRPr="00D419DD" w14:paraId="4C8DE01C" w14:textId="77777777" w:rsidTr="0086437C">
        <w:trPr>
          <w:trHeight w:val="240"/>
          <w:tblHeader/>
        </w:trPr>
        <w:tc>
          <w:tcPr>
            <w:tcW w:w="14490" w:type="dxa"/>
            <w:gridSpan w:val="5"/>
          </w:tcPr>
          <w:p w14:paraId="21BC36C5" w14:textId="77777777" w:rsidR="00ED6BFB" w:rsidRPr="00D419DD" w:rsidRDefault="00ED6BFB" w:rsidP="00D419DD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D419DD">
              <w:rPr>
                <w:bCs w:val="0"/>
                <w:sz w:val="20"/>
                <w:szCs w:val="20"/>
                <w:u w:val="none"/>
              </w:rPr>
              <w:t>Data Set Summary</w:t>
            </w:r>
          </w:p>
        </w:tc>
      </w:tr>
      <w:tr w:rsidR="00ED6BFB" w:rsidRPr="00D419DD" w14:paraId="4291D725" w14:textId="77777777" w:rsidTr="004D3BB4">
        <w:trPr>
          <w:trHeight w:val="240"/>
          <w:tblHeader/>
        </w:trPr>
        <w:tc>
          <w:tcPr>
            <w:tcW w:w="1104" w:type="dxa"/>
            <w:vMerge w:val="restart"/>
          </w:tcPr>
          <w:p w14:paraId="79DB6304" w14:textId="77777777" w:rsidR="00ED6BFB" w:rsidRPr="00D419DD" w:rsidRDefault="00ED6BFB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D419DD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1113" w:type="dxa"/>
            <w:vMerge w:val="restart"/>
          </w:tcPr>
          <w:p w14:paraId="70729047" w14:textId="77777777" w:rsidR="00ED6BFB" w:rsidRPr="00D419DD" w:rsidRDefault="00ED6BFB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D419DD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273" w:type="dxa"/>
            <w:gridSpan w:val="3"/>
          </w:tcPr>
          <w:p w14:paraId="7615EF7F" w14:textId="77777777" w:rsidR="00ED6BFB" w:rsidRPr="00D419DD" w:rsidRDefault="00ED6BFB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D419DD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ED6BFB" w:rsidRPr="00D419DD" w14:paraId="5C6276B3" w14:textId="77777777" w:rsidTr="004D3BB4">
        <w:trPr>
          <w:trHeight w:val="240"/>
          <w:tblHeader/>
        </w:trPr>
        <w:tc>
          <w:tcPr>
            <w:tcW w:w="1104" w:type="dxa"/>
            <w:vMerge/>
          </w:tcPr>
          <w:p w14:paraId="6FF77198" w14:textId="77777777" w:rsidR="00ED6BFB" w:rsidRPr="00D419DD" w:rsidRDefault="00ED6BFB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vMerge/>
          </w:tcPr>
          <w:p w14:paraId="02CDB52E" w14:textId="77777777" w:rsidR="00ED6BFB" w:rsidRPr="00D419DD" w:rsidRDefault="00ED6BFB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4173" w:type="dxa"/>
          </w:tcPr>
          <w:p w14:paraId="28AC5AFD" w14:textId="77777777" w:rsidR="00ED6BFB" w:rsidRPr="00D419DD" w:rsidRDefault="00ED6BFB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D419DD">
              <w:rPr>
                <w:sz w:val="20"/>
                <w:szCs w:val="20"/>
                <w:u w:val="none"/>
              </w:rPr>
              <w:t xml:space="preserve">Data </w:t>
            </w:r>
            <w:r w:rsidR="0086437C" w:rsidRPr="00D419DD">
              <w:rPr>
                <w:sz w:val="20"/>
                <w:szCs w:val="20"/>
                <w:u w:val="none"/>
              </w:rPr>
              <w:t>Set</w:t>
            </w:r>
            <w:r w:rsidR="004148D5">
              <w:rPr>
                <w:sz w:val="20"/>
                <w:szCs w:val="20"/>
                <w:u w:val="none"/>
              </w:rPr>
              <w:t xml:space="preserve"> </w:t>
            </w:r>
            <w:r w:rsidR="006D5AC2">
              <w:rPr>
                <w:sz w:val="20"/>
                <w:szCs w:val="20"/>
                <w:u w:val="none"/>
              </w:rPr>
              <w:t>Name</w:t>
            </w:r>
          </w:p>
        </w:tc>
        <w:tc>
          <w:tcPr>
            <w:tcW w:w="2489" w:type="dxa"/>
          </w:tcPr>
          <w:p w14:paraId="772B5501" w14:textId="77777777" w:rsidR="00ED6BFB" w:rsidRPr="00D419DD" w:rsidRDefault="006D5AC2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5611" w:type="dxa"/>
          </w:tcPr>
          <w:p w14:paraId="546907F0" w14:textId="77777777" w:rsidR="00ED6BFB" w:rsidRPr="00D419DD" w:rsidRDefault="00ED6BFB" w:rsidP="00D419DD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D419DD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7E1CEF" w:rsidRPr="00D419DD" w14:paraId="3E2B1CDB" w14:textId="77777777" w:rsidTr="004D3BB4">
        <w:trPr>
          <w:cantSplit/>
          <w:trHeight w:val="475"/>
        </w:trPr>
        <w:tc>
          <w:tcPr>
            <w:tcW w:w="1104" w:type="dxa"/>
            <w:vMerge w:val="restart"/>
          </w:tcPr>
          <w:p w14:paraId="48709C2D" w14:textId="77777777" w:rsidR="007E1CEF" w:rsidRPr="00D419DD" w:rsidRDefault="007E1CEF" w:rsidP="00D419D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D419D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V 1.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</w:p>
        </w:tc>
        <w:tc>
          <w:tcPr>
            <w:tcW w:w="1113" w:type="dxa"/>
            <w:shd w:val="clear" w:color="auto" w:fill="auto"/>
          </w:tcPr>
          <w:p w14:paraId="23243A73" w14:textId="61A11CC3" w:rsidR="007E1CEF" w:rsidRPr="00D419DD" w:rsidRDefault="00AE12CA" w:rsidP="00560E9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</w:t>
            </w:r>
          </w:p>
        </w:tc>
        <w:tc>
          <w:tcPr>
            <w:tcW w:w="4173" w:type="dxa"/>
            <w:shd w:val="clear" w:color="auto" w:fill="auto"/>
          </w:tcPr>
          <w:p w14:paraId="3FE307EC" w14:textId="62A233A9" w:rsidR="007E1CEF" w:rsidRPr="00004697" w:rsidRDefault="004B0FEF" w:rsidP="0000469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Unsecured PLR for others</w:t>
            </w:r>
          </w:p>
        </w:tc>
        <w:tc>
          <w:tcPr>
            <w:tcW w:w="2489" w:type="dxa"/>
          </w:tcPr>
          <w:p w14:paraId="03B3C0C7" w14:textId="77777777" w:rsidR="007E1CEF" w:rsidRPr="00AC2AED" w:rsidRDefault="00AC2AED" w:rsidP="00D419D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C2A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ค่าต่ำสุดของ</w:t>
            </w:r>
            <w:r w:rsidRPr="00AC2AED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</w:p>
        </w:tc>
        <w:tc>
          <w:tcPr>
            <w:tcW w:w="5611" w:type="dxa"/>
          </w:tcPr>
          <w:p w14:paraId="21F7562E" w14:textId="77777777" w:rsidR="006D5AC2" w:rsidRPr="006D5AC2" w:rsidRDefault="006D5AC2" w:rsidP="00D419DD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6D5AC2">
              <w:rPr>
                <w:color w:val="000000" w:themeColor="text1"/>
                <w:sz w:val="20"/>
                <w:szCs w:val="20"/>
              </w:rPr>
              <w:t>Data Element / Description</w:t>
            </w:r>
          </w:p>
          <w:p w14:paraId="28B1EBEB" w14:textId="77777777" w:rsidR="004C5A46" w:rsidRDefault="007E1CEF" w:rsidP="00D419D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เปลี่ยนจาก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0046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อัตราดอกเบี้ย ค่าธรรมเนียม และค่าบริการที่เรียกเก็บ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  <w:p w14:paraId="4CB45B9B" w14:textId="77777777" w:rsidR="007E1CEF" w:rsidRPr="00D419DD" w:rsidRDefault="007E1CEF" w:rsidP="00D419D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2163A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4B0FEF" w:rsidRPr="00D419DD" w14:paraId="6A9CA8A1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6A65E188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6189FB64" w14:textId="78128C55" w:rsidR="004B0FE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</w:t>
            </w:r>
          </w:p>
        </w:tc>
        <w:tc>
          <w:tcPr>
            <w:tcW w:w="4173" w:type="dxa"/>
            <w:shd w:val="clear" w:color="auto" w:fill="auto"/>
          </w:tcPr>
          <w:p w14:paraId="057E1521" w14:textId="54949540" w:rsidR="004B0FEF" w:rsidRPr="00004697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Unsecured PLR for others</w:t>
            </w:r>
          </w:p>
        </w:tc>
        <w:tc>
          <w:tcPr>
            <w:tcW w:w="2489" w:type="dxa"/>
          </w:tcPr>
          <w:p w14:paraId="50FD58BF" w14:textId="37CFF79E" w:rsidR="004B0FEF" w:rsidRPr="00AC2AED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ค่าสูง</w:t>
            </w:r>
            <w:r w:rsidRPr="00AC2A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สุดของ</w:t>
            </w:r>
            <w:r w:rsidRPr="00AC2AED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</w:p>
        </w:tc>
        <w:tc>
          <w:tcPr>
            <w:tcW w:w="5611" w:type="dxa"/>
          </w:tcPr>
          <w:p w14:paraId="405B4A08" w14:textId="77777777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6D5AC2">
              <w:rPr>
                <w:color w:val="000000" w:themeColor="text1"/>
                <w:sz w:val="20"/>
                <w:szCs w:val="20"/>
              </w:rPr>
              <w:t>Data Element / Description</w:t>
            </w:r>
          </w:p>
          <w:p w14:paraId="0933E263" w14:textId="77777777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เปลี่ยนจาก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0046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อัตราดอกเบี้ย ค่าธรรมเนียม และค่าบริการที่เรียกเก็บ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  <w:p w14:paraId="22427559" w14:textId="26809C66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2163A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4B0FEF" w:rsidRPr="00D419DD" w14:paraId="1735FCB3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31B563CE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16C2B2AD" w14:textId="2E8ADD20" w:rsidR="004B0FE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</w:t>
            </w:r>
          </w:p>
        </w:tc>
        <w:tc>
          <w:tcPr>
            <w:tcW w:w="4173" w:type="dxa"/>
            <w:shd w:val="clear" w:color="auto" w:fill="auto"/>
          </w:tcPr>
          <w:p w14:paraId="464D4C59" w14:textId="632E9383" w:rsidR="004B0FEF" w:rsidRPr="00004697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Unsecured PLR for others</w:t>
            </w:r>
          </w:p>
        </w:tc>
        <w:tc>
          <w:tcPr>
            <w:tcW w:w="2489" w:type="dxa"/>
          </w:tcPr>
          <w:p w14:paraId="1E76C056" w14:textId="736C26E7" w:rsidR="004B0FEF" w:rsidRPr="00AC2AED" w:rsidRDefault="004B0FEF" w:rsidP="00F857D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ค่าเฉลี่ย</w:t>
            </w:r>
            <w:r w:rsidRPr="00AC2A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AC2AED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</w:p>
        </w:tc>
        <w:tc>
          <w:tcPr>
            <w:tcW w:w="5611" w:type="dxa"/>
          </w:tcPr>
          <w:p w14:paraId="45C4B95B" w14:textId="77777777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6D5AC2">
              <w:rPr>
                <w:color w:val="000000" w:themeColor="text1"/>
                <w:sz w:val="20"/>
                <w:szCs w:val="20"/>
              </w:rPr>
              <w:t>Data Element / Description</w:t>
            </w:r>
          </w:p>
          <w:p w14:paraId="2707A948" w14:textId="77777777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เปลี่ยนจาก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0046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อัตราดอกเบี้ย ค่าธรรมเนียม และค่าบริการที่เรียกเก็บ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  <w:p w14:paraId="4CBD5A17" w14:textId="6BF60519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2163A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4B0FEF" w:rsidRPr="00D419DD" w14:paraId="65B7CC4E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18FC780B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2895F30C" w14:textId="04FFADD2" w:rsidR="004B0FE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18</w:t>
            </w:r>
          </w:p>
        </w:tc>
        <w:tc>
          <w:tcPr>
            <w:tcW w:w="4173" w:type="dxa"/>
            <w:shd w:val="clear" w:color="auto" w:fill="auto"/>
          </w:tcPr>
          <w:p w14:paraId="1B99DDEA" w14:textId="7E424A6C" w:rsidR="004B0FEF" w:rsidRPr="00004697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Unsecured PLR for occupation</w:t>
            </w:r>
          </w:p>
        </w:tc>
        <w:tc>
          <w:tcPr>
            <w:tcW w:w="2489" w:type="dxa"/>
          </w:tcPr>
          <w:p w14:paraId="78E32994" w14:textId="40F6F32B" w:rsidR="004B0FEF" w:rsidRPr="00AC2AED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AC2A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ค่าต่ำสุดของ</w:t>
            </w:r>
            <w:r w:rsidRPr="00AC2AED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</w:p>
        </w:tc>
        <w:tc>
          <w:tcPr>
            <w:tcW w:w="5611" w:type="dxa"/>
          </w:tcPr>
          <w:p w14:paraId="5CDB924F" w14:textId="77777777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6D5AC2">
              <w:rPr>
                <w:color w:val="000000" w:themeColor="text1"/>
                <w:sz w:val="20"/>
                <w:szCs w:val="20"/>
              </w:rPr>
              <w:t>Data Element / Description</w:t>
            </w:r>
          </w:p>
          <w:p w14:paraId="6E88CACC" w14:textId="77777777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เปลี่ยนจาก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0046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อัตราดอกเบี้ย ค่าธรรมเนียม และค่าบริการที่เรียกเก็บ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  <w:p w14:paraId="3DBF0F39" w14:textId="10D8D5BF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2163A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4B0FEF" w:rsidRPr="00D419DD" w14:paraId="181878FF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677C3DBF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2459BD6D" w14:textId="4B68C0DE" w:rsidR="004B0FE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18</w:t>
            </w:r>
          </w:p>
        </w:tc>
        <w:tc>
          <w:tcPr>
            <w:tcW w:w="4173" w:type="dxa"/>
            <w:shd w:val="clear" w:color="auto" w:fill="auto"/>
          </w:tcPr>
          <w:p w14:paraId="21C4CDCD" w14:textId="5DCB77FC" w:rsidR="004B0FEF" w:rsidRPr="00004697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Unsecured PLR for occupation</w:t>
            </w:r>
          </w:p>
        </w:tc>
        <w:tc>
          <w:tcPr>
            <w:tcW w:w="2489" w:type="dxa"/>
          </w:tcPr>
          <w:p w14:paraId="1617E4BA" w14:textId="698CA792" w:rsidR="004B0FEF" w:rsidRPr="00AC2AED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ค่าสูง</w:t>
            </w:r>
            <w:r w:rsidRPr="00AC2A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สุดของ</w:t>
            </w:r>
            <w:r w:rsidRPr="00AC2AED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</w:p>
        </w:tc>
        <w:tc>
          <w:tcPr>
            <w:tcW w:w="5611" w:type="dxa"/>
          </w:tcPr>
          <w:p w14:paraId="54058C2A" w14:textId="77777777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6D5AC2">
              <w:rPr>
                <w:color w:val="000000" w:themeColor="text1"/>
                <w:sz w:val="20"/>
                <w:szCs w:val="20"/>
              </w:rPr>
              <w:t>Data Element / Description</w:t>
            </w:r>
          </w:p>
          <w:p w14:paraId="73DF1852" w14:textId="77777777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เปลี่ยนจาก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0046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อัตราดอกเบี้ย ค่าธรรมเนียม และค่าบริการที่เรียกเก็บ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  <w:p w14:paraId="2DAE7057" w14:textId="50B505AA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2163A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4B0FEF" w:rsidRPr="00D419DD" w14:paraId="4C0458B2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5FEF0597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6FB6597B" w14:textId="1C5C29B7" w:rsidR="004B0FE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19</w:t>
            </w:r>
          </w:p>
        </w:tc>
        <w:tc>
          <w:tcPr>
            <w:tcW w:w="4173" w:type="dxa"/>
            <w:shd w:val="clear" w:color="auto" w:fill="auto"/>
          </w:tcPr>
          <w:p w14:paraId="4193A58A" w14:textId="575F3A7A" w:rsidR="004B0FEF" w:rsidRPr="00004697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Unsecured PLR for occupation</w:t>
            </w:r>
          </w:p>
        </w:tc>
        <w:tc>
          <w:tcPr>
            <w:tcW w:w="2489" w:type="dxa"/>
          </w:tcPr>
          <w:p w14:paraId="584281AA" w14:textId="53C99F78" w:rsidR="004B0FEF" w:rsidRPr="00AC2AED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ค่าเฉลี่ย</w:t>
            </w:r>
            <w:r w:rsidRPr="00AC2A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AC2AED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</w:p>
        </w:tc>
        <w:tc>
          <w:tcPr>
            <w:tcW w:w="5611" w:type="dxa"/>
          </w:tcPr>
          <w:p w14:paraId="6467E7F2" w14:textId="77777777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6D5AC2">
              <w:rPr>
                <w:color w:val="000000" w:themeColor="text1"/>
                <w:sz w:val="20"/>
                <w:szCs w:val="20"/>
              </w:rPr>
              <w:t>Data Element / Description</w:t>
            </w:r>
          </w:p>
          <w:p w14:paraId="013A0F80" w14:textId="77777777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เปลี่ยนจาก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0046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อัตราดอกเบี้ย ค่าธรรมเนียม และค่าบริการที่เรียกเก็บ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  <w:p w14:paraId="0A752B21" w14:textId="2B715A26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2163A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4B0FEF" w:rsidRPr="00D419DD" w14:paraId="1887FFCD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52CACB1E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48DF126B" w14:textId="77D78689" w:rsidR="004B0FE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24</w:t>
            </w:r>
          </w:p>
        </w:tc>
        <w:tc>
          <w:tcPr>
            <w:tcW w:w="4173" w:type="dxa"/>
            <w:shd w:val="clear" w:color="auto" w:fill="auto"/>
          </w:tcPr>
          <w:p w14:paraId="30D26884" w14:textId="7CF9E07F" w:rsidR="004B0FEF" w:rsidRPr="00004697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11583">
              <w:rPr>
                <w:b w:val="0"/>
                <w:bCs w:val="0"/>
                <w:sz w:val="20"/>
                <w:szCs w:val="20"/>
                <w:u w:val="none"/>
              </w:rPr>
              <w:t>Hire Purchase for others</w:t>
            </w:r>
          </w:p>
        </w:tc>
        <w:tc>
          <w:tcPr>
            <w:tcW w:w="2489" w:type="dxa"/>
          </w:tcPr>
          <w:p w14:paraId="13005B09" w14:textId="05FA44EE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AC2A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ค่าต่ำสุดของ</w:t>
            </w:r>
            <w:r w:rsidRPr="00AC2AED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</w:p>
        </w:tc>
        <w:tc>
          <w:tcPr>
            <w:tcW w:w="5611" w:type="dxa"/>
          </w:tcPr>
          <w:p w14:paraId="6D32FFE0" w14:textId="77777777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6D5AC2">
              <w:rPr>
                <w:color w:val="000000" w:themeColor="text1"/>
                <w:sz w:val="20"/>
                <w:szCs w:val="20"/>
              </w:rPr>
              <w:t>Data Element / Description</w:t>
            </w:r>
          </w:p>
          <w:p w14:paraId="588F3507" w14:textId="77777777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เปลี่ยนจาก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0046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อัตราดอกเบี้ย ค่าธรรมเนียม และค่าบริการที่เรียกเก็บ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  <w:p w14:paraId="0FB11BE6" w14:textId="08F222BD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2163A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4B0FEF" w:rsidRPr="00D419DD" w14:paraId="1B44C3F0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57A6BEEB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32F72B24" w14:textId="1D1B0B0A" w:rsidR="004B0FE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24</w:t>
            </w:r>
          </w:p>
        </w:tc>
        <w:tc>
          <w:tcPr>
            <w:tcW w:w="4173" w:type="dxa"/>
            <w:shd w:val="clear" w:color="auto" w:fill="auto"/>
          </w:tcPr>
          <w:p w14:paraId="4F3EE1E3" w14:textId="19329FA8" w:rsidR="004B0FEF" w:rsidRPr="00004697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11583">
              <w:rPr>
                <w:b w:val="0"/>
                <w:bCs w:val="0"/>
                <w:sz w:val="20"/>
                <w:szCs w:val="20"/>
                <w:u w:val="none"/>
              </w:rPr>
              <w:t>Hire Purchase for others</w:t>
            </w:r>
          </w:p>
        </w:tc>
        <w:tc>
          <w:tcPr>
            <w:tcW w:w="2489" w:type="dxa"/>
          </w:tcPr>
          <w:p w14:paraId="3A6CAB30" w14:textId="5CEC6B57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ค่าสูง</w:t>
            </w:r>
            <w:r w:rsidRPr="00AC2A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สุดของ</w:t>
            </w:r>
            <w:r w:rsidRPr="00AC2AED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</w:p>
        </w:tc>
        <w:tc>
          <w:tcPr>
            <w:tcW w:w="5611" w:type="dxa"/>
          </w:tcPr>
          <w:p w14:paraId="74DEBF72" w14:textId="77777777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6D5AC2">
              <w:rPr>
                <w:color w:val="000000" w:themeColor="text1"/>
                <w:sz w:val="20"/>
                <w:szCs w:val="20"/>
              </w:rPr>
              <w:t>Data Element / Description</w:t>
            </w:r>
          </w:p>
          <w:p w14:paraId="20636643" w14:textId="77777777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เปลี่ยนจาก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0046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อัตราดอกเบี้ย ค่าธรรมเนียม และค่าบริการที่เรียกเก็บ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  <w:p w14:paraId="75F03596" w14:textId="2056D6E8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2163A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4B0FEF" w:rsidRPr="00D419DD" w14:paraId="3E340308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34DA9044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3FDD62A2" w14:textId="129EBCE8" w:rsidR="004B0FE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25</w:t>
            </w:r>
          </w:p>
        </w:tc>
        <w:tc>
          <w:tcPr>
            <w:tcW w:w="4173" w:type="dxa"/>
            <w:shd w:val="clear" w:color="auto" w:fill="auto"/>
          </w:tcPr>
          <w:p w14:paraId="2B1DCA34" w14:textId="4F387CE2" w:rsidR="004B0FEF" w:rsidRPr="00004697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11583">
              <w:rPr>
                <w:b w:val="0"/>
                <w:bCs w:val="0"/>
                <w:sz w:val="20"/>
                <w:szCs w:val="20"/>
                <w:u w:val="none"/>
              </w:rPr>
              <w:t>Hire Purchase for others</w:t>
            </w:r>
          </w:p>
        </w:tc>
        <w:tc>
          <w:tcPr>
            <w:tcW w:w="2489" w:type="dxa"/>
          </w:tcPr>
          <w:p w14:paraId="30E2EF34" w14:textId="78F7A7A4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ค่าเฉลี่ย</w:t>
            </w:r>
            <w:r w:rsidRPr="00AC2A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AC2AED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</w:p>
        </w:tc>
        <w:tc>
          <w:tcPr>
            <w:tcW w:w="5611" w:type="dxa"/>
          </w:tcPr>
          <w:p w14:paraId="351818CA" w14:textId="77777777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6D5AC2">
              <w:rPr>
                <w:color w:val="000000" w:themeColor="text1"/>
                <w:sz w:val="20"/>
                <w:szCs w:val="20"/>
              </w:rPr>
              <w:t>Data Element / Description</w:t>
            </w:r>
          </w:p>
          <w:p w14:paraId="787BDCB0" w14:textId="77777777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เปลี่ยนจาก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0046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อัตราดอกเบี้ย ค่าธรรมเนียม และค่าบริการที่เรียกเก็บ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  <w:p w14:paraId="0CFF6E38" w14:textId="42CE4DF0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2163A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4B0FEF" w:rsidRPr="00D419DD" w14:paraId="22DAADF2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5C7BBAD5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11BB56EC" w14:textId="3546106A" w:rsidR="004B0FE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31</w:t>
            </w:r>
          </w:p>
        </w:tc>
        <w:tc>
          <w:tcPr>
            <w:tcW w:w="4173" w:type="dxa"/>
            <w:shd w:val="clear" w:color="auto" w:fill="auto"/>
          </w:tcPr>
          <w:p w14:paraId="5B025188" w14:textId="4EFE20E8" w:rsidR="004B0FEF" w:rsidRPr="00B11583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11583">
              <w:rPr>
                <w:b w:val="0"/>
                <w:bCs w:val="0"/>
                <w:sz w:val="20"/>
                <w:szCs w:val="20"/>
                <w:u w:val="none"/>
              </w:rPr>
              <w:t>Title Loan</w:t>
            </w:r>
          </w:p>
        </w:tc>
        <w:tc>
          <w:tcPr>
            <w:tcW w:w="2489" w:type="dxa"/>
          </w:tcPr>
          <w:p w14:paraId="02FEB849" w14:textId="5DFC7317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AC2A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ค่าต่ำสุดของ</w:t>
            </w:r>
            <w:r w:rsidRPr="00AC2AED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</w:p>
        </w:tc>
        <w:tc>
          <w:tcPr>
            <w:tcW w:w="5611" w:type="dxa"/>
          </w:tcPr>
          <w:p w14:paraId="38D810A6" w14:textId="77777777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6D5AC2">
              <w:rPr>
                <w:color w:val="000000" w:themeColor="text1"/>
                <w:sz w:val="20"/>
                <w:szCs w:val="20"/>
              </w:rPr>
              <w:t>Data Element / Description</w:t>
            </w:r>
          </w:p>
          <w:p w14:paraId="54037B3B" w14:textId="77777777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เปลี่ยนจาก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0046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อัตราดอกเบี้ย ค่าธรรมเนียม และค่าบริการที่เรียกเก็บ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  <w:p w14:paraId="00F06EE3" w14:textId="249B78DA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2163A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4B0FEF" w:rsidRPr="00D419DD" w14:paraId="43DAD895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16FEC558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46E574E5" w14:textId="5BF07AE3" w:rsidR="004B0FE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31</w:t>
            </w:r>
          </w:p>
        </w:tc>
        <w:tc>
          <w:tcPr>
            <w:tcW w:w="4173" w:type="dxa"/>
            <w:shd w:val="clear" w:color="auto" w:fill="auto"/>
          </w:tcPr>
          <w:p w14:paraId="6BC24A4F" w14:textId="38393B4B" w:rsidR="004B0FEF" w:rsidRPr="00004697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11583">
              <w:rPr>
                <w:b w:val="0"/>
                <w:bCs w:val="0"/>
                <w:sz w:val="20"/>
                <w:szCs w:val="20"/>
                <w:u w:val="none"/>
              </w:rPr>
              <w:t>Title Loan</w:t>
            </w:r>
          </w:p>
        </w:tc>
        <w:tc>
          <w:tcPr>
            <w:tcW w:w="2489" w:type="dxa"/>
          </w:tcPr>
          <w:p w14:paraId="17A99FBA" w14:textId="77777777" w:rsidR="004B0FEF" w:rsidRPr="00AC2AED" w:rsidRDefault="004B0FEF" w:rsidP="004B0FEF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ค่าสูง</w:t>
            </w:r>
            <w:r w:rsidRPr="00AC2A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สุดของ</w:t>
            </w:r>
            <w:r w:rsidRPr="00AC2AED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</w:p>
        </w:tc>
        <w:tc>
          <w:tcPr>
            <w:tcW w:w="5611" w:type="dxa"/>
          </w:tcPr>
          <w:p w14:paraId="6161731E" w14:textId="77777777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6D5AC2">
              <w:rPr>
                <w:color w:val="000000" w:themeColor="text1"/>
                <w:sz w:val="20"/>
                <w:szCs w:val="20"/>
              </w:rPr>
              <w:t>Data Element / Description</w:t>
            </w:r>
          </w:p>
          <w:p w14:paraId="728A29DA" w14:textId="77777777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เปลี่ยนจาก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0046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อัตราดอกเบี้ย ค่าธรรมเนียม และค่าบริการที่เรียกเก็บ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  <w:p w14:paraId="397475E0" w14:textId="77777777" w:rsidR="004B0FEF" w:rsidRPr="00D419DD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2163A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4B0FEF" w:rsidRPr="00D419DD" w14:paraId="2B138BFC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3DB3AD89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31153FB4" w14:textId="33A74223" w:rsidR="004B0FE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31</w:t>
            </w:r>
          </w:p>
        </w:tc>
        <w:tc>
          <w:tcPr>
            <w:tcW w:w="4173" w:type="dxa"/>
            <w:shd w:val="clear" w:color="auto" w:fill="auto"/>
          </w:tcPr>
          <w:p w14:paraId="1739BB8D" w14:textId="249DAB6B" w:rsidR="004B0FEF" w:rsidRPr="00004697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11583">
              <w:rPr>
                <w:b w:val="0"/>
                <w:bCs w:val="0"/>
                <w:sz w:val="20"/>
                <w:szCs w:val="20"/>
                <w:u w:val="none"/>
              </w:rPr>
              <w:t>Title Loan</w:t>
            </w:r>
          </w:p>
        </w:tc>
        <w:tc>
          <w:tcPr>
            <w:tcW w:w="2489" w:type="dxa"/>
          </w:tcPr>
          <w:p w14:paraId="1CDCDDED" w14:textId="5DFD9C1D" w:rsidR="004B0FEF" w:rsidRPr="00AC2AED" w:rsidRDefault="004B0FEF" w:rsidP="00F857DE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ค่าเฉลี่ย</w:t>
            </w:r>
            <w:r w:rsidRPr="00AC2A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ของ</w:t>
            </w:r>
            <w:r w:rsidRPr="00AC2AED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</w:p>
        </w:tc>
        <w:tc>
          <w:tcPr>
            <w:tcW w:w="5611" w:type="dxa"/>
          </w:tcPr>
          <w:p w14:paraId="603A8E6F" w14:textId="77777777" w:rsidR="004B0FEF" w:rsidRPr="006D5AC2" w:rsidRDefault="004B0FEF" w:rsidP="004B0FE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6D5AC2">
              <w:rPr>
                <w:color w:val="000000" w:themeColor="text1"/>
                <w:sz w:val="20"/>
                <w:szCs w:val="20"/>
              </w:rPr>
              <w:t>Data Element / Description</w:t>
            </w:r>
          </w:p>
          <w:p w14:paraId="41772126" w14:textId="77777777" w:rsidR="004B0FE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เปลี่ยนจาก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0046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อัตราดอกเบี้ย ค่าธรรมเนียม และค่าบริการที่เรียกเก็บ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</w:p>
          <w:p w14:paraId="123F8D11" w14:textId="77777777" w:rsidR="004B0FEF" w:rsidRPr="00D419DD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2163A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อัตราดอกเบี้ย เบี้ยปรับ ค่าปรับ ค่าบริการ ค่าธรรมเนียมใด ๆ</w:t>
            </w:r>
            <w:r w:rsidRPr="00004697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4B0FEF" w:rsidRPr="00D419DD" w14:paraId="5CFDDC0E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27EE0EFA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72C14AC9" w14:textId="77777777" w:rsidR="004B0FEF" w:rsidRPr="00D7705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</w:rPr>
            </w:pP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</w:rPr>
              <w:t>34-38</w:t>
            </w:r>
          </w:p>
        </w:tc>
        <w:tc>
          <w:tcPr>
            <w:tcW w:w="4173" w:type="dxa"/>
            <w:shd w:val="clear" w:color="auto" w:fill="auto"/>
          </w:tcPr>
          <w:p w14:paraId="7C5EE32C" w14:textId="3A8A5A33" w:rsidR="004B0FEF" w:rsidRPr="00D7705F" w:rsidRDefault="004B0FEF" w:rsidP="004B0FEF">
            <w:pPr>
              <w:spacing w:before="120" w:line="360" w:lineRule="auto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035E00">
              <w:rPr>
                <w:rFonts w:ascii="Tahoma" w:hAnsi="Tahoma" w:cs="Tahoma"/>
                <w:color w:val="7B7B7B" w:themeColor="accent3" w:themeShade="BF"/>
                <w:sz w:val="20"/>
                <w:szCs w:val="20"/>
              </w:rPr>
              <w:t>Unsecured PLR for others by province</w:t>
            </w:r>
          </w:p>
        </w:tc>
        <w:tc>
          <w:tcPr>
            <w:tcW w:w="2489" w:type="dxa"/>
          </w:tcPr>
          <w:p w14:paraId="5F3E0D63" w14:textId="77777777" w:rsidR="004B0FEF" w:rsidRPr="00D7705F" w:rsidRDefault="004B0FEF" w:rsidP="004B0FEF">
            <w:pPr>
              <w:spacing w:before="120" w:line="360" w:lineRule="auto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5611" w:type="dxa"/>
          </w:tcPr>
          <w:p w14:paraId="6A947949" w14:textId="77777777" w:rsidR="004B0FEF" w:rsidRPr="00D7705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</w:pP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ยกเลิก</w:t>
            </w:r>
            <w:r>
              <w:rPr>
                <w:rFonts w:hint="cs"/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ชุดข้อมูล</w:t>
            </w: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ตั้งแต่งวดสิงหาคมของปี 2563</w:t>
            </w:r>
          </w:p>
        </w:tc>
      </w:tr>
      <w:tr w:rsidR="004B0FEF" w:rsidRPr="00D419DD" w14:paraId="4AECF363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11EFEC91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3C53243C" w14:textId="77777777" w:rsidR="004B0FEF" w:rsidRPr="00D7705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</w:rPr>
            </w:pP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</w:rPr>
              <w:t>39-43</w:t>
            </w:r>
          </w:p>
        </w:tc>
        <w:tc>
          <w:tcPr>
            <w:tcW w:w="4173" w:type="dxa"/>
            <w:shd w:val="clear" w:color="auto" w:fill="auto"/>
          </w:tcPr>
          <w:p w14:paraId="5CA1D60E" w14:textId="28167C17" w:rsidR="004B0FEF" w:rsidRPr="00D7705F" w:rsidRDefault="004B0FEF" w:rsidP="004B0FEF">
            <w:pPr>
              <w:spacing w:before="120" w:line="360" w:lineRule="auto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035E00">
              <w:rPr>
                <w:rFonts w:ascii="Tahoma" w:hAnsi="Tahoma" w:cs="Tahoma"/>
                <w:color w:val="7B7B7B" w:themeColor="accent3" w:themeShade="BF"/>
                <w:sz w:val="20"/>
                <w:szCs w:val="20"/>
              </w:rPr>
              <w:t>Unsecured PLR for occupation</w:t>
            </w:r>
            <w:r w:rsidRPr="00035E00">
              <w:rPr>
                <w:rFonts w:ascii="Tahoma" w:hAnsi="Tahoma" w:cs="Tahoma"/>
                <w:color w:val="7B7B7B" w:themeColor="accent3" w:themeShade="BF"/>
                <w:sz w:val="20"/>
                <w:szCs w:val="20"/>
                <w:cs/>
              </w:rPr>
              <w:t xml:space="preserve"> </w:t>
            </w:r>
            <w:r w:rsidRPr="00035E00">
              <w:rPr>
                <w:rFonts w:ascii="Tahoma" w:hAnsi="Tahoma" w:cs="Tahoma"/>
                <w:color w:val="7B7B7B" w:themeColor="accent3" w:themeShade="BF"/>
                <w:sz w:val="20"/>
                <w:szCs w:val="20"/>
              </w:rPr>
              <w:t>by province</w:t>
            </w:r>
          </w:p>
        </w:tc>
        <w:tc>
          <w:tcPr>
            <w:tcW w:w="2489" w:type="dxa"/>
          </w:tcPr>
          <w:p w14:paraId="479DC322" w14:textId="77777777" w:rsidR="004B0FEF" w:rsidRPr="00D7705F" w:rsidRDefault="004B0FEF" w:rsidP="004B0FEF">
            <w:pPr>
              <w:spacing w:before="120" w:line="360" w:lineRule="auto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5611" w:type="dxa"/>
          </w:tcPr>
          <w:p w14:paraId="0A53C659" w14:textId="77777777" w:rsidR="004B0FEF" w:rsidRPr="00D7705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</w:pP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ยกเลิก</w:t>
            </w:r>
            <w:r>
              <w:rPr>
                <w:rFonts w:hint="cs"/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ชุดข้อมูล</w:t>
            </w: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ตั้งแต่งวดสิงหาคมของปี 2563</w:t>
            </w:r>
          </w:p>
        </w:tc>
      </w:tr>
      <w:tr w:rsidR="004B0FEF" w:rsidRPr="00D419DD" w14:paraId="61AAC2C0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7F41F97F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210D89DB" w14:textId="77777777" w:rsidR="004B0FEF" w:rsidRPr="00D7705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</w:rPr>
            </w:pP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</w:rPr>
              <w:t>44-48</w:t>
            </w:r>
          </w:p>
        </w:tc>
        <w:tc>
          <w:tcPr>
            <w:tcW w:w="4173" w:type="dxa"/>
            <w:shd w:val="clear" w:color="auto" w:fill="auto"/>
          </w:tcPr>
          <w:p w14:paraId="1F6E4ED5" w14:textId="1EEED317" w:rsidR="004B0FEF" w:rsidRPr="00D7705F" w:rsidRDefault="004B0FEF" w:rsidP="004B0FEF">
            <w:pPr>
              <w:spacing w:before="120" w:line="360" w:lineRule="auto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035E00">
              <w:rPr>
                <w:rFonts w:ascii="Tahoma" w:hAnsi="Tahoma" w:cs="Tahoma"/>
                <w:color w:val="7B7B7B" w:themeColor="accent3" w:themeShade="BF"/>
                <w:sz w:val="20"/>
                <w:szCs w:val="20"/>
              </w:rPr>
              <w:t>Title Loan</w:t>
            </w:r>
            <w:r w:rsidRPr="00035E00">
              <w:rPr>
                <w:rFonts w:ascii="Tahoma" w:hAnsi="Tahoma" w:cs="Tahoma"/>
                <w:b/>
                <w:bCs/>
                <w:color w:val="7B7B7B" w:themeColor="accent3" w:themeShade="BF"/>
                <w:sz w:val="20"/>
                <w:szCs w:val="20"/>
              </w:rPr>
              <w:t xml:space="preserve"> </w:t>
            </w:r>
            <w:r w:rsidRPr="00035E00">
              <w:rPr>
                <w:rFonts w:ascii="Tahoma" w:hAnsi="Tahoma" w:cs="Tahoma"/>
                <w:color w:val="7B7B7B" w:themeColor="accent3" w:themeShade="BF"/>
                <w:sz w:val="20"/>
                <w:szCs w:val="20"/>
              </w:rPr>
              <w:t>by province</w:t>
            </w:r>
          </w:p>
        </w:tc>
        <w:tc>
          <w:tcPr>
            <w:tcW w:w="2489" w:type="dxa"/>
          </w:tcPr>
          <w:p w14:paraId="65D304AA" w14:textId="77777777" w:rsidR="004B0FEF" w:rsidRPr="00D7705F" w:rsidRDefault="004B0FEF" w:rsidP="004B0FEF">
            <w:pPr>
              <w:spacing w:before="120" w:line="360" w:lineRule="auto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5611" w:type="dxa"/>
          </w:tcPr>
          <w:p w14:paraId="6B66CBF1" w14:textId="77777777" w:rsidR="004B0FEF" w:rsidRPr="00D7705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</w:pP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ยกเลิก</w:t>
            </w:r>
            <w:r>
              <w:rPr>
                <w:rFonts w:hint="cs"/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ชุดข้อมูล</w:t>
            </w: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ตั้งแต่งวดสิงหาคมของปี 2563</w:t>
            </w:r>
          </w:p>
        </w:tc>
      </w:tr>
      <w:tr w:rsidR="004B0FEF" w:rsidRPr="00D419DD" w14:paraId="369C91E7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6EFE36A9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2983D55A" w14:textId="77777777" w:rsidR="004B0FEF" w:rsidRPr="00D7705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</w:rPr>
            </w:pP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</w:rPr>
              <w:t>49</w:t>
            </w:r>
          </w:p>
        </w:tc>
        <w:tc>
          <w:tcPr>
            <w:tcW w:w="4173" w:type="dxa"/>
            <w:shd w:val="clear" w:color="auto" w:fill="auto"/>
          </w:tcPr>
          <w:p w14:paraId="419C9D29" w14:textId="65792D9E" w:rsidR="004B0FEF" w:rsidRPr="00D7705F" w:rsidRDefault="004B0FEF" w:rsidP="004B0FEF">
            <w:pPr>
              <w:pStyle w:val="ListParagraph"/>
              <w:spacing w:before="120" w:after="0" w:line="360" w:lineRule="auto"/>
              <w:ind w:left="0"/>
              <w:rPr>
                <w:rFonts w:ascii="Tahoma" w:hAnsi="Tahoma" w:cs="Tahoma" w:hint="cs"/>
                <w:b/>
                <w:bCs/>
                <w:color w:val="808080" w:themeColor="background1" w:themeShade="80"/>
                <w:sz w:val="20"/>
                <w:szCs w:val="20"/>
                <w:cs/>
              </w:rPr>
            </w:pPr>
            <w:r w:rsidRPr="00035E00">
              <w:rPr>
                <w:rFonts w:ascii="Tahoma" w:hAnsi="Tahoma" w:cs="Tahoma"/>
                <w:color w:val="7B7B7B" w:themeColor="accent3" w:themeShade="BF"/>
                <w:sz w:val="20"/>
                <w:szCs w:val="20"/>
              </w:rPr>
              <w:t>Financial Position Statement</w:t>
            </w:r>
          </w:p>
        </w:tc>
        <w:tc>
          <w:tcPr>
            <w:tcW w:w="2489" w:type="dxa"/>
          </w:tcPr>
          <w:p w14:paraId="304601F7" w14:textId="77777777" w:rsidR="004B0FEF" w:rsidRPr="00D7705F" w:rsidRDefault="004B0FEF" w:rsidP="004B0FEF">
            <w:pPr>
              <w:spacing w:before="120" w:line="360" w:lineRule="auto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5611" w:type="dxa"/>
          </w:tcPr>
          <w:p w14:paraId="08C632EE" w14:textId="77777777" w:rsidR="004B0FEF" w:rsidRPr="00D7705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</w:pP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ยกเลิก</w:t>
            </w:r>
            <w:r>
              <w:rPr>
                <w:rFonts w:hint="cs"/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ชุดข้อ</w:t>
            </w:r>
            <w:bookmarkStart w:id="0" w:name="_GoBack"/>
            <w:bookmarkEnd w:id="0"/>
            <w:r>
              <w:rPr>
                <w:rFonts w:hint="cs"/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มูล</w:t>
            </w: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ตั้งแต่งวดสิงหาคมของปี 2563</w:t>
            </w:r>
          </w:p>
        </w:tc>
      </w:tr>
      <w:tr w:rsidR="004B0FEF" w:rsidRPr="00D419DD" w14:paraId="0107233B" w14:textId="77777777" w:rsidTr="004D3BB4">
        <w:trPr>
          <w:cantSplit/>
          <w:trHeight w:val="475"/>
        </w:trPr>
        <w:tc>
          <w:tcPr>
            <w:tcW w:w="1104" w:type="dxa"/>
            <w:vMerge/>
          </w:tcPr>
          <w:p w14:paraId="2F9622A9" w14:textId="77777777" w:rsidR="004B0FEF" w:rsidRPr="00D419DD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shd w:val="clear" w:color="auto" w:fill="auto"/>
          </w:tcPr>
          <w:p w14:paraId="2DBC7BC5" w14:textId="77777777" w:rsidR="004B0FEF" w:rsidRPr="00D7705F" w:rsidRDefault="004B0FEF" w:rsidP="004B0FEF">
            <w:pPr>
              <w:pStyle w:val="Title"/>
              <w:spacing w:before="120" w:line="360" w:lineRule="auto"/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</w:rPr>
            </w:pP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</w:rPr>
              <w:t>50</w:t>
            </w:r>
          </w:p>
        </w:tc>
        <w:tc>
          <w:tcPr>
            <w:tcW w:w="4173" w:type="dxa"/>
            <w:shd w:val="clear" w:color="auto" w:fill="auto"/>
          </w:tcPr>
          <w:p w14:paraId="32E50E42" w14:textId="11CF601A" w:rsidR="004B0FEF" w:rsidRPr="00D7705F" w:rsidRDefault="004B0FEF" w:rsidP="004B0FEF">
            <w:pPr>
              <w:spacing w:before="120" w:line="360" w:lineRule="auto"/>
              <w:rPr>
                <w:rFonts w:ascii="Tahoma" w:hAnsi="Tahoma" w:cs="Tahoma"/>
                <w:color w:val="808080" w:themeColor="background1" w:themeShade="80"/>
                <w:sz w:val="20"/>
                <w:szCs w:val="20"/>
                <w:cs/>
              </w:rPr>
            </w:pPr>
            <w:r w:rsidRPr="00035E00">
              <w:rPr>
                <w:rFonts w:ascii="Tahoma" w:hAnsi="Tahoma" w:cs="Tahoma"/>
                <w:color w:val="7B7B7B" w:themeColor="accent3" w:themeShade="BF"/>
                <w:sz w:val="20"/>
                <w:szCs w:val="20"/>
              </w:rPr>
              <w:t>Comprehensive Income Statement</w:t>
            </w:r>
          </w:p>
        </w:tc>
        <w:tc>
          <w:tcPr>
            <w:tcW w:w="2489" w:type="dxa"/>
          </w:tcPr>
          <w:p w14:paraId="1860BDB7" w14:textId="77777777" w:rsidR="004B0FEF" w:rsidRPr="00D7705F" w:rsidRDefault="004B0FEF" w:rsidP="004B0FEF">
            <w:pPr>
              <w:spacing w:before="120" w:line="360" w:lineRule="auto"/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5611" w:type="dxa"/>
          </w:tcPr>
          <w:p w14:paraId="525AD0BF" w14:textId="77777777" w:rsidR="004B0FEF" w:rsidRPr="00D7705F" w:rsidRDefault="004B0FEF" w:rsidP="004B0F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</w:pP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ยกเลิก</w:t>
            </w:r>
            <w:r>
              <w:rPr>
                <w:rFonts w:hint="cs"/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ชุดข้อมูล</w:t>
            </w:r>
            <w:r w:rsidRPr="00D7705F">
              <w:rPr>
                <w:b w:val="0"/>
                <w:bCs w:val="0"/>
                <w:color w:val="808080" w:themeColor="background1" w:themeShade="80"/>
                <w:sz w:val="20"/>
                <w:szCs w:val="20"/>
                <w:u w:val="none"/>
                <w:cs/>
              </w:rPr>
              <w:t>ตั้งแต่งวดสิงหาคมของปี 2563</w:t>
            </w:r>
          </w:p>
        </w:tc>
      </w:tr>
    </w:tbl>
    <w:p w14:paraId="09DF3ADF" w14:textId="77777777" w:rsidR="0086437C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  <w:r w:rsidRPr="003B188E">
        <w:rPr>
          <w:rFonts w:cs="Tahoma"/>
          <w:b w:val="0"/>
          <w:bCs w:val="0"/>
          <w:color w:val="FF0000"/>
          <w:sz w:val="20"/>
          <w:szCs w:val="20"/>
        </w:rPr>
        <w:t xml:space="preserve"> </w:t>
      </w:r>
      <w:r w:rsidR="00F8227E" w:rsidRPr="003B188E">
        <w:rPr>
          <w:rFonts w:cs="Tahoma"/>
          <w:b w:val="0"/>
          <w:bCs w:val="0"/>
          <w:color w:val="FF0000"/>
          <w:sz w:val="20"/>
          <w:szCs w:val="20"/>
        </w:rPr>
        <w:t xml:space="preserve"> </w:t>
      </w:r>
    </w:p>
    <w:sectPr w:rsidR="0086437C" w:rsidSect="006D085B">
      <w:headerReference w:type="default" r:id="rId12"/>
      <w:footerReference w:type="default" r:id="rId13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0C35F" w14:textId="77777777" w:rsidR="00E56ADB" w:rsidRDefault="00E56ADB" w:rsidP="00BA635D">
      <w:pPr>
        <w:pStyle w:val="TableText"/>
      </w:pPr>
      <w:r>
        <w:separator/>
      </w:r>
    </w:p>
  </w:endnote>
  <w:endnote w:type="continuationSeparator" w:id="0">
    <w:p w14:paraId="79FB37A9" w14:textId="77777777" w:rsidR="00E56ADB" w:rsidRDefault="00E56ADB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6576F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293E69C1" wp14:editId="5A6BDDEA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772D3AD0" wp14:editId="1D36317B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14EF29" wp14:editId="1527C992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6C9911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B38EF68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14:paraId="1C5523C1" w14:textId="77777777"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F857DE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3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F857DE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3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</w:rPr>
      <w:t xml:space="preserve">           </w:t>
    </w:r>
    <w:r w:rsidR="00190F93">
      <w:rPr>
        <w:rFonts w:ascii="Tahoma" w:hAnsi="Tahoma" w:cs="Tahoma"/>
        <w:b/>
        <w:bCs/>
        <w:sz w:val="20"/>
        <w:szCs w:val="20"/>
      </w:rPr>
      <w:t>PLR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</w:rPr>
      <w:t>: Summ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ary of Changes V. </w:t>
    </w:r>
    <w:r w:rsidR="00190F93">
      <w:rPr>
        <w:rFonts w:ascii="Tahoma" w:hAnsi="Tahoma" w:cs="Tahoma"/>
        <w:b/>
        <w:bCs/>
        <w:sz w:val="20"/>
        <w:szCs w:val="20"/>
      </w:rPr>
      <w:t>1</w:t>
    </w:r>
    <w:r w:rsidR="009209A5" w:rsidRPr="00F30A24">
      <w:rPr>
        <w:rFonts w:ascii="Tahoma" w:hAnsi="Tahoma" w:cs="Tahoma"/>
        <w:b/>
        <w:bCs/>
        <w:sz w:val="20"/>
        <w:szCs w:val="20"/>
      </w:rPr>
      <w:t>.</w:t>
    </w:r>
    <w:r w:rsidR="00004697">
      <w:rPr>
        <w:rFonts w:ascii="Tahoma" w:hAnsi="Tahoma" w:cs="Tahoma"/>
        <w:b/>
        <w:bCs/>
        <w:sz w:val="20"/>
        <w:szCs w:val="20"/>
      </w:rPr>
      <w:t>3</w:t>
    </w:r>
  </w:p>
  <w:p w14:paraId="09496235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EA2C8" w14:textId="77777777" w:rsidR="00E56ADB" w:rsidRDefault="00E56ADB" w:rsidP="00BA635D">
      <w:pPr>
        <w:pStyle w:val="TableText"/>
      </w:pPr>
      <w:r>
        <w:separator/>
      </w:r>
    </w:p>
  </w:footnote>
  <w:footnote w:type="continuationSeparator" w:id="0">
    <w:p w14:paraId="28EFDC6C" w14:textId="77777777" w:rsidR="00E56ADB" w:rsidRDefault="00E56ADB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60DC6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41EB73FA" wp14:editId="00CD272C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964854B" wp14:editId="005A84F0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2BAA9F57" wp14:editId="4BAF9044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A76B6"/>
    <w:multiLevelType w:val="hybridMultilevel"/>
    <w:tmpl w:val="0EA654DC"/>
    <w:lvl w:ilvl="0" w:tplc="2FD2F0C4">
      <w:start w:val="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F51AB"/>
    <w:multiLevelType w:val="hybridMultilevel"/>
    <w:tmpl w:val="8AF422DC"/>
    <w:lvl w:ilvl="0" w:tplc="F22E98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697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E0C9C"/>
    <w:rsid w:val="000E37C8"/>
    <w:rsid w:val="001027E8"/>
    <w:rsid w:val="00114EF6"/>
    <w:rsid w:val="001207F3"/>
    <w:rsid w:val="00121A4C"/>
    <w:rsid w:val="00122FA0"/>
    <w:rsid w:val="00123AD4"/>
    <w:rsid w:val="00123B1A"/>
    <w:rsid w:val="001267C1"/>
    <w:rsid w:val="00134CEA"/>
    <w:rsid w:val="00190F93"/>
    <w:rsid w:val="00193B0D"/>
    <w:rsid w:val="0019647A"/>
    <w:rsid w:val="001A666F"/>
    <w:rsid w:val="001B0A9B"/>
    <w:rsid w:val="001B23AD"/>
    <w:rsid w:val="001B6549"/>
    <w:rsid w:val="001C01B7"/>
    <w:rsid w:val="001C2BFD"/>
    <w:rsid w:val="001D0028"/>
    <w:rsid w:val="001D068C"/>
    <w:rsid w:val="001F6B5A"/>
    <w:rsid w:val="00200203"/>
    <w:rsid w:val="00201C2B"/>
    <w:rsid w:val="0021197B"/>
    <w:rsid w:val="002163A9"/>
    <w:rsid w:val="00217892"/>
    <w:rsid w:val="0022089C"/>
    <w:rsid w:val="00221F74"/>
    <w:rsid w:val="002261E7"/>
    <w:rsid w:val="00233B22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7712E"/>
    <w:rsid w:val="00283088"/>
    <w:rsid w:val="002837DB"/>
    <w:rsid w:val="002A5295"/>
    <w:rsid w:val="002B2945"/>
    <w:rsid w:val="002C4805"/>
    <w:rsid w:val="002C7618"/>
    <w:rsid w:val="002D048E"/>
    <w:rsid w:val="002D1A23"/>
    <w:rsid w:val="002D25C9"/>
    <w:rsid w:val="002E3F63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61E9B"/>
    <w:rsid w:val="00367EFA"/>
    <w:rsid w:val="0037609A"/>
    <w:rsid w:val="00391601"/>
    <w:rsid w:val="003A3714"/>
    <w:rsid w:val="003B095E"/>
    <w:rsid w:val="003B188E"/>
    <w:rsid w:val="003C10F3"/>
    <w:rsid w:val="003C32EF"/>
    <w:rsid w:val="003C751E"/>
    <w:rsid w:val="003D0A24"/>
    <w:rsid w:val="003D368E"/>
    <w:rsid w:val="003D44F5"/>
    <w:rsid w:val="003D7BA4"/>
    <w:rsid w:val="003E571D"/>
    <w:rsid w:val="00407BC4"/>
    <w:rsid w:val="004148D5"/>
    <w:rsid w:val="00420222"/>
    <w:rsid w:val="00421093"/>
    <w:rsid w:val="00422B1C"/>
    <w:rsid w:val="004248B9"/>
    <w:rsid w:val="004338C6"/>
    <w:rsid w:val="00451AAA"/>
    <w:rsid w:val="00454F13"/>
    <w:rsid w:val="00457063"/>
    <w:rsid w:val="00464474"/>
    <w:rsid w:val="00467125"/>
    <w:rsid w:val="00474EE5"/>
    <w:rsid w:val="0048538D"/>
    <w:rsid w:val="004A7B88"/>
    <w:rsid w:val="004B0FEF"/>
    <w:rsid w:val="004B162B"/>
    <w:rsid w:val="004C1059"/>
    <w:rsid w:val="004C3A0B"/>
    <w:rsid w:val="004C5A46"/>
    <w:rsid w:val="004D3BB4"/>
    <w:rsid w:val="004D71A5"/>
    <w:rsid w:val="004E1F1D"/>
    <w:rsid w:val="004E2182"/>
    <w:rsid w:val="004E31DA"/>
    <w:rsid w:val="00506E12"/>
    <w:rsid w:val="005155B1"/>
    <w:rsid w:val="005170FB"/>
    <w:rsid w:val="005248CD"/>
    <w:rsid w:val="0052754C"/>
    <w:rsid w:val="005337DB"/>
    <w:rsid w:val="0053395F"/>
    <w:rsid w:val="005370C9"/>
    <w:rsid w:val="00542143"/>
    <w:rsid w:val="00552310"/>
    <w:rsid w:val="005523F4"/>
    <w:rsid w:val="00560E95"/>
    <w:rsid w:val="00574952"/>
    <w:rsid w:val="005C525E"/>
    <w:rsid w:val="005C6991"/>
    <w:rsid w:val="005D49F9"/>
    <w:rsid w:val="005E4745"/>
    <w:rsid w:val="005F2D66"/>
    <w:rsid w:val="005F6662"/>
    <w:rsid w:val="006022EA"/>
    <w:rsid w:val="00607342"/>
    <w:rsid w:val="00610EC9"/>
    <w:rsid w:val="00625FCC"/>
    <w:rsid w:val="00631999"/>
    <w:rsid w:val="0064461F"/>
    <w:rsid w:val="0064500B"/>
    <w:rsid w:val="00661A57"/>
    <w:rsid w:val="00665553"/>
    <w:rsid w:val="00670D04"/>
    <w:rsid w:val="00672452"/>
    <w:rsid w:val="006906D4"/>
    <w:rsid w:val="00695459"/>
    <w:rsid w:val="00696CB1"/>
    <w:rsid w:val="006A2C53"/>
    <w:rsid w:val="006B38AB"/>
    <w:rsid w:val="006C0A78"/>
    <w:rsid w:val="006C4700"/>
    <w:rsid w:val="006C4791"/>
    <w:rsid w:val="006C66F4"/>
    <w:rsid w:val="006D085B"/>
    <w:rsid w:val="006D2298"/>
    <w:rsid w:val="006D5AC2"/>
    <w:rsid w:val="007009D4"/>
    <w:rsid w:val="00711E97"/>
    <w:rsid w:val="00721301"/>
    <w:rsid w:val="00721431"/>
    <w:rsid w:val="00727FE0"/>
    <w:rsid w:val="00731CD5"/>
    <w:rsid w:val="007341FF"/>
    <w:rsid w:val="00737137"/>
    <w:rsid w:val="00743693"/>
    <w:rsid w:val="00761D90"/>
    <w:rsid w:val="007644C5"/>
    <w:rsid w:val="007667C5"/>
    <w:rsid w:val="00784F53"/>
    <w:rsid w:val="00790BBA"/>
    <w:rsid w:val="007930A1"/>
    <w:rsid w:val="007937A2"/>
    <w:rsid w:val="007A5546"/>
    <w:rsid w:val="007A574D"/>
    <w:rsid w:val="007A6C94"/>
    <w:rsid w:val="007C311A"/>
    <w:rsid w:val="007C3FFF"/>
    <w:rsid w:val="007C7DAE"/>
    <w:rsid w:val="007D3526"/>
    <w:rsid w:val="007E0A03"/>
    <w:rsid w:val="007E143C"/>
    <w:rsid w:val="007E1CEF"/>
    <w:rsid w:val="007E4583"/>
    <w:rsid w:val="007E5889"/>
    <w:rsid w:val="007F5EF1"/>
    <w:rsid w:val="00807A6D"/>
    <w:rsid w:val="00810A77"/>
    <w:rsid w:val="00812BD0"/>
    <w:rsid w:val="0081365D"/>
    <w:rsid w:val="00820404"/>
    <w:rsid w:val="00827043"/>
    <w:rsid w:val="00837CCA"/>
    <w:rsid w:val="0086437C"/>
    <w:rsid w:val="008704AE"/>
    <w:rsid w:val="00870ADB"/>
    <w:rsid w:val="008750CB"/>
    <w:rsid w:val="0087696A"/>
    <w:rsid w:val="008812A9"/>
    <w:rsid w:val="00893E21"/>
    <w:rsid w:val="008A73FC"/>
    <w:rsid w:val="008A78C7"/>
    <w:rsid w:val="008B2427"/>
    <w:rsid w:val="008C078C"/>
    <w:rsid w:val="008C3801"/>
    <w:rsid w:val="008E1684"/>
    <w:rsid w:val="008E3001"/>
    <w:rsid w:val="008E3FE2"/>
    <w:rsid w:val="008F0EA1"/>
    <w:rsid w:val="008F3379"/>
    <w:rsid w:val="00906141"/>
    <w:rsid w:val="009120B7"/>
    <w:rsid w:val="00912AE3"/>
    <w:rsid w:val="009132F4"/>
    <w:rsid w:val="00914C98"/>
    <w:rsid w:val="009209A5"/>
    <w:rsid w:val="00925DF2"/>
    <w:rsid w:val="00927C1F"/>
    <w:rsid w:val="009312F2"/>
    <w:rsid w:val="00936351"/>
    <w:rsid w:val="00937C29"/>
    <w:rsid w:val="00947CA0"/>
    <w:rsid w:val="00965865"/>
    <w:rsid w:val="009752A3"/>
    <w:rsid w:val="00982C21"/>
    <w:rsid w:val="00986DCB"/>
    <w:rsid w:val="00992577"/>
    <w:rsid w:val="00995096"/>
    <w:rsid w:val="009A17F0"/>
    <w:rsid w:val="009D6BFB"/>
    <w:rsid w:val="009D7BB0"/>
    <w:rsid w:val="009E6F9D"/>
    <w:rsid w:val="00A0295B"/>
    <w:rsid w:val="00A34E06"/>
    <w:rsid w:val="00A358BC"/>
    <w:rsid w:val="00A45D99"/>
    <w:rsid w:val="00A57435"/>
    <w:rsid w:val="00A643F0"/>
    <w:rsid w:val="00A6751F"/>
    <w:rsid w:val="00A7288D"/>
    <w:rsid w:val="00A82DC6"/>
    <w:rsid w:val="00A92E4D"/>
    <w:rsid w:val="00A965A4"/>
    <w:rsid w:val="00AA15FB"/>
    <w:rsid w:val="00AA3AAA"/>
    <w:rsid w:val="00AA4562"/>
    <w:rsid w:val="00AB4130"/>
    <w:rsid w:val="00AB4EDF"/>
    <w:rsid w:val="00AB5493"/>
    <w:rsid w:val="00AB613E"/>
    <w:rsid w:val="00AB6869"/>
    <w:rsid w:val="00AC1825"/>
    <w:rsid w:val="00AC2AED"/>
    <w:rsid w:val="00AC33F0"/>
    <w:rsid w:val="00AC522E"/>
    <w:rsid w:val="00AD104D"/>
    <w:rsid w:val="00AE12CA"/>
    <w:rsid w:val="00B00F4B"/>
    <w:rsid w:val="00B04D4C"/>
    <w:rsid w:val="00B07D8D"/>
    <w:rsid w:val="00B11583"/>
    <w:rsid w:val="00B11E5D"/>
    <w:rsid w:val="00B20E42"/>
    <w:rsid w:val="00B36548"/>
    <w:rsid w:val="00B5575A"/>
    <w:rsid w:val="00B64A91"/>
    <w:rsid w:val="00B9436E"/>
    <w:rsid w:val="00BA2534"/>
    <w:rsid w:val="00BA635D"/>
    <w:rsid w:val="00BA6B42"/>
    <w:rsid w:val="00BB42FD"/>
    <w:rsid w:val="00BC3127"/>
    <w:rsid w:val="00BC4898"/>
    <w:rsid w:val="00BC691A"/>
    <w:rsid w:val="00BC69F9"/>
    <w:rsid w:val="00BD2C17"/>
    <w:rsid w:val="00C01C24"/>
    <w:rsid w:val="00C0563C"/>
    <w:rsid w:val="00C16165"/>
    <w:rsid w:val="00C17907"/>
    <w:rsid w:val="00C24E37"/>
    <w:rsid w:val="00C33086"/>
    <w:rsid w:val="00C36C0E"/>
    <w:rsid w:val="00C4213D"/>
    <w:rsid w:val="00C44A04"/>
    <w:rsid w:val="00C508C2"/>
    <w:rsid w:val="00C559D9"/>
    <w:rsid w:val="00C60E95"/>
    <w:rsid w:val="00C637E7"/>
    <w:rsid w:val="00C7261D"/>
    <w:rsid w:val="00C7288A"/>
    <w:rsid w:val="00C76D02"/>
    <w:rsid w:val="00C824B3"/>
    <w:rsid w:val="00CA5DAB"/>
    <w:rsid w:val="00CA63E9"/>
    <w:rsid w:val="00CA6B12"/>
    <w:rsid w:val="00CB6829"/>
    <w:rsid w:val="00CC18AF"/>
    <w:rsid w:val="00CE5DC7"/>
    <w:rsid w:val="00CE5EF6"/>
    <w:rsid w:val="00D0155B"/>
    <w:rsid w:val="00D1230F"/>
    <w:rsid w:val="00D15B41"/>
    <w:rsid w:val="00D236ED"/>
    <w:rsid w:val="00D24FCC"/>
    <w:rsid w:val="00D25CE6"/>
    <w:rsid w:val="00D261AF"/>
    <w:rsid w:val="00D26750"/>
    <w:rsid w:val="00D32BEB"/>
    <w:rsid w:val="00D3614C"/>
    <w:rsid w:val="00D36A41"/>
    <w:rsid w:val="00D419DD"/>
    <w:rsid w:val="00D5112E"/>
    <w:rsid w:val="00D53033"/>
    <w:rsid w:val="00D62C13"/>
    <w:rsid w:val="00D63E8E"/>
    <w:rsid w:val="00D7705F"/>
    <w:rsid w:val="00D80FFC"/>
    <w:rsid w:val="00D82E6F"/>
    <w:rsid w:val="00D94DBE"/>
    <w:rsid w:val="00DA6B14"/>
    <w:rsid w:val="00DB2C39"/>
    <w:rsid w:val="00DB32B2"/>
    <w:rsid w:val="00DC2372"/>
    <w:rsid w:val="00DD4A01"/>
    <w:rsid w:val="00DE036E"/>
    <w:rsid w:val="00DE69F3"/>
    <w:rsid w:val="00DF3A7E"/>
    <w:rsid w:val="00DF79E4"/>
    <w:rsid w:val="00E01272"/>
    <w:rsid w:val="00E02F2A"/>
    <w:rsid w:val="00E02FDC"/>
    <w:rsid w:val="00E17491"/>
    <w:rsid w:val="00E1780C"/>
    <w:rsid w:val="00E33FC6"/>
    <w:rsid w:val="00E42E0C"/>
    <w:rsid w:val="00E45D98"/>
    <w:rsid w:val="00E56ADB"/>
    <w:rsid w:val="00E7251C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ED6BFB"/>
    <w:rsid w:val="00EE6750"/>
    <w:rsid w:val="00F10E08"/>
    <w:rsid w:val="00F1135A"/>
    <w:rsid w:val="00F11FBF"/>
    <w:rsid w:val="00F2303D"/>
    <w:rsid w:val="00F26EEB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77295"/>
    <w:rsid w:val="00F8227E"/>
    <w:rsid w:val="00F857DE"/>
    <w:rsid w:val="00F92232"/>
    <w:rsid w:val="00F958B8"/>
    <w:rsid w:val="00F97C03"/>
    <w:rsid w:val="00F97F0F"/>
    <w:rsid w:val="00FA3785"/>
    <w:rsid w:val="00FB058D"/>
    <w:rsid w:val="00FB4880"/>
    <w:rsid w:val="00FB5B43"/>
    <w:rsid w:val="00FB7DC1"/>
    <w:rsid w:val="00FD014C"/>
    <w:rsid w:val="00FD0E3E"/>
    <w:rsid w:val="00FD55E6"/>
    <w:rsid w:val="00FD7E8E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5F572C4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7E1C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A1870D0-EC23-4F1B-8591-B54A9D8F9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607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อริศรา ธัญญธาดา</cp:lastModifiedBy>
  <cp:revision>21</cp:revision>
  <cp:lastPrinted>2013-07-09T09:33:00Z</cp:lastPrinted>
  <dcterms:created xsi:type="dcterms:W3CDTF">2020-01-08T03:54:00Z</dcterms:created>
  <dcterms:modified xsi:type="dcterms:W3CDTF">2020-09-10T16:25:00Z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57ef099a-7fa4-4e34-953d-f6f34188ebfd_Enabled">
    <vt:lpwstr>true</vt:lpwstr>
  </property>
  <property fmtid="{D5CDD505-2E9C-101B-9397-08002B2CF9AE}" pid="15" name="MSIP_Label_57ef099a-7fa4-4e34-953d-f6f34188ebfd_SetDate">
    <vt:lpwstr>2020-08-21T01:37:36Z</vt:lpwstr>
  </property>
  <property fmtid="{D5CDD505-2E9C-101B-9397-08002B2CF9AE}" pid="16" name="MSIP_Label_57ef099a-7fa4-4e34-953d-f6f34188ebfd_Method">
    <vt:lpwstr>Standard</vt:lpwstr>
  </property>
  <property fmtid="{D5CDD505-2E9C-101B-9397-08002B2CF9AE}" pid="17" name="MSIP_Label_57ef099a-7fa4-4e34-953d-f6f34188ebfd_Name">
    <vt:lpwstr>Internal</vt:lpwstr>
  </property>
  <property fmtid="{D5CDD505-2E9C-101B-9397-08002B2CF9AE}" pid="18" name="MSIP_Label_57ef099a-7fa4-4e34-953d-f6f34188ebfd_SiteId">
    <vt:lpwstr>db27cba9-535b-4797-bd0b-1b1d889f3898</vt:lpwstr>
  </property>
  <property fmtid="{D5CDD505-2E9C-101B-9397-08002B2CF9AE}" pid="19" name="MSIP_Label_57ef099a-7fa4-4e34-953d-f6f34188ebfd_ActionId">
    <vt:lpwstr>b615fcab-2704-44a8-b52b-f8cfd625fccd</vt:lpwstr>
  </property>
  <property fmtid="{D5CDD505-2E9C-101B-9397-08002B2CF9AE}" pid="20" name="MSIP_Label_57ef099a-7fa4-4e34-953d-f6f34188ebfd_ContentBits">
    <vt:lpwstr>0</vt:lpwstr>
  </property>
</Properties>
</file>