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48E3D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54418B28" w14:textId="77777777"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718464EE" w14:textId="77777777"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F30D61B" wp14:editId="6F92C42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0F1C6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2DE827C0" w14:textId="77777777"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E49BD1A" w14:textId="676F7C1E" w:rsidR="000108A0" w:rsidRPr="004E37A3" w:rsidRDefault="002B4A1A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RISK MANAGEMENT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0108A0" w:rsidRPr="004E37A3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A5E6B0F" w14:textId="5E8FADE8" w:rsidR="0083274A" w:rsidRPr="004E37A3" w:rsidRDefault="004E37A3" w:rsidP="00056751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0074A3" w:rsidRPr="004E37A3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0074A3" w:rsidRPr="004E37A3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>สำหรับชุดข้</w:t>
      </w:r>
      <w:r w:rsidR="004D745C" w:rsidRPr="004E37A3">
        <w:rPr>
          <w:rFonts w:cs="Tahoma"/>
          <w:color w:val="000000" w:themeColor="text1"/>
          <w:sz w:val="56"/>
          <w:szCs w:val="56"/>
          <w:cs/>
          <w:lang w:bidi="th-TH"/>
        </w:rPr>
        <w:t>อมูล</w:t>
      </w:r>
      <w:r w:rsidR="000A5E5B" w:rsidRPr="004E37A3">
        <w:rPr>
          <w:rFonts w:cs="Tahoma" w:hint="cs"/>
          <w:sz w:val="56"/>
          <w:szCs w:val="56"/>
          <w:cs/>
          <w:lang w:bidi="th-TH"/>
        </w:rPr>
        <w:t>การบริหาร</w:t>
      </w:r>
    </w:p>
    <w:p w14:paraId="487CA41D" w14:textId="7C2E6FD9" w:rsidR="004D745C" w:rsidRPr="00B2713D" w:rsidRDefault="00F3049C" w:rsidP="00056751">
      <w:pPr>
        <w:pStyle w:val="Title"/>
        <w:spacing w:after="0"/>
        <w:rPr>
          <w:rFonts w:cs="Tahoma"/>
          <w:color w:val="000000" w:themeColor="text1"/>
          <w:sz w:val="20"/>
          <w:szCs w:val="20"/>
        </w:rPr>
      </w:pPr>
      <w:r w:rsidRPr="004E37A3">
        <w:rPr>
          <w:rFonts w:cs="Tahoma"/>
          <w:sz w:val="56"/>
          <w:szCs w:val="56"/>
          <w:cs/>
          <w:lang w:bidi="th-TH"/>
        </w:rPr>
        <w:t>ความเสี่ยง</w:t>
      </w:r>
      <w:r w:rsidR="0083274A" w:rsidRPr="004E37A3">
        <w:rPr>
          <w:rFonts w:cs="Tahoma" w:hint="cs"/>
          <w:sz w:val="56"/>
          <w:szCs w:val="56"/>
          <w:cs/>
          <w:lang w:bidi="th-TH"/>
        </w:rPr>
        <w:t>ของสถาบันการเงิน</w:t>
      </w:r>
      <w:r w:rsidR="004E37A3" w:rsidRPr="004E37A3">
        <w:rPr>
          <w:rFonts w:cs="Tahoma" w:hint="cs"/>
          <w:color w:val="000000" w:themeColor="text1"/>
          <w:sz w:val="56"/>
          <w:szCs w:val="56"/>
          <w:cs/>
          <w:lang w:bidi="th-TH"/>
        </w:rPr>
        <w:t>)</w:t>
      </w:r>
      <w:r w:rsidR="000108A0" w:rsidRPr="00050950">
        <w:rPr>
          <w:rFonts w:cs="Tahoma"/>
          <w:color w:val="000000" w:themeColor="text1"/>
        </w:rPr>
        <w:br w:type="page"/>
      </w:r>
    </w:p>
    <w:p w14:paraId="5A2E5BB6" w14:textId="146156F2" w:rsidR="000108A0" w:rsidRPr="00056751" w:rsidRDefault="000108A0" w:rsidP="00846C93">
      <w:pPr>
        <w:pStyle w:val="Sub-block"/>
        <w:tabs>
          <w:tab w:val="left" w:pos="6480"/>
        </w:tabs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rtl/>
          <w:cs/>
          <w:lang w:val="fr-FR"/>
        </w:rPr>
      </w:pPr>
      <w:r w:rsidRPr="00056751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="00846C93">
        <w:rPr>
          <w:rFonts w:cs="Tahoma"/>
          <w:color w:val="000000" w:themeColor="text1"/>
          <w:sz w:val="20"/>
          <w:szCs w:val="20"/>
          <w:rtl/>
          <w:lang w:val="fr-FR"/>
        </w:rPr>
        <w:tab/>
      </w:r>
    </w:p>
    <w:p w14:paraId="5D433886" w14:textId="6B749B6A" w:rsidR="000108A0" w:rsidRPr="00056751" w:rsidRDefault="000108A0" w:rsidP="00056751">
      <w:pPr>
        <w:pStyle w:val="Sub-block"/>
        <w:spacing w:before="240" w:after="240" w:line="440" w:lineRule="exact"/>
        <w:ind w:left="0"/>
        <w:rPr>
          <w:rFonts w:cs="Tahoma"/>
          <w:color w:val="000000" w:themeColor="text1"/>
          <w:sz w:val="20"/>
          <w:szCs w:val="20"/>
          <w:lang w:val="fr-FR"/>
        </w:rPr>
      </w:pP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Revision</w:t>
      </w:r>
      <w:proofErr w:type="spellEnd"/>
      <w:r w:rsidRPr="00056751">
        <w:rPr>
          <w:rFonts w:cs="Tahoma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56751">
        <w:rPr>
          <w:rFonts w:cs="Tahoma"/>
          <w:color w:val="000000" w:themeColor="text1"/>
          <w:sz w:val="20"/>
          <w:szCs w:val="20"/>
          <w:lang w:val="fr-FR"/>
        </w:rPr>
        <w:t>history</w:t>
      </w:r>
      <w:proofErr w:type="spellEnd"/>
    </w:p>
    <w:tbl>
      <w:tblPr>
        <w:tblW w:w="14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559"/>
        <w:gridCol w:w="1049"/>
      </w:tblGrid>
      <w:tr w:rsidR="00872ADF" w:rsidRPr="00B72839" w14:paraId="790A3E2E" w14:textId="77777777" w:rsidTr="00187DCA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1D02F5B4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598B8E2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F97C50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Effective Date</w:t>
            </w:r>
          </w:p>
        </w:tc>
        <w:tc>
          <w:tcPr>
            <w:tcW w:w="8559" w:type="dxa"/>
            <w:shd w:val="clear" w:color="auto" w:fill="auto"/>
            <w:vAlign w:val="center"/>
          </w:tcPr>
          <w:p w14:paraId="6422C41B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4CA1EBF" w14:textId="77777777" w:rsidR="00872ADF" w:rsidRPr="00B72839" w:rsidRDefault="00872ADF" w:rsidP="0095066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72839">
              <w:rPr>
                <w:sz w:val="20"/>
                <w:szCs w:val="20"/>
              </w:rPr>
              <w:t>Revision marks</w:t>
            </w:r>
          </w:p>
        </w:tc>
      </w:tr>
      <w:tr w:rsidR="00872ADF" w:rsidRPr="00B72839" w14:paraId="1C39482A" w14:textId="77777777" w:rsidTr="00187DCA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9005EC7" w14:textId="77777777" w:rsidR="00872ADF" w:rsidRPr="00B72839" w:rsidRDefault="00872ADF" w:rsidP="0095066B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B72839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40B9B5" w14:textId="763FB7A7" w:rsidR="00872ADF" w:rsidRPr="00B72839" w:rsidRDefault="002B4A1A" w:rsidP="00F3049C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bookmarkStart w:id="0" w:name="_GoBack"/>
            <w:bookmarkEnd w:id="0"/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F3049C">
              <w:rPr>
                <w:rFonts w:cs="Tahoma"/>
                <w:i w:val="0"/>
                <w:iCs w:val="0"/>
                <w:color w:val="000000" w:themeColor="text1"/>
              </w:rPr>
              <w:t xml:space="preserve">March </w:t>
            </w:r>
            <w:r w:rsidR="00872ADF" w:rsidRPr="00B72839">
              <w:rPr>
                <w:rFonts w:cs="Tahoma"/>
                <w:i w:val="0"/>
                <w:iCs w:val="0"/>
                <w:color w:val="000000" w:themeColor="text1"/>
              </w:rPr>
              <w:t>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211E2F" w14:textId="249B8762" w:rsidR="00872ADF" w:rsidRPr="00B72839" w:rsidRDefault="00872ADF" w:rsidP="00872ADF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72839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B72839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8FCB37" w14:textId="77777777" w:rsidR="00872ADF" w:rsidRPr="00B72839" w:rsidRDefault="00872ADF" w:rsidP="0095066B">
            <w:pPr>
              <w:pStyle w:val="TableText"/>
              <w:spacing w:before="120"/>
              <w:rPr>
                <w:rFonts w:cs="Tahoma"/>
              </w:rPr>
            </w:pPr>
            <w:r w:rsidRPr="00B72839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73C42A" w14:textId="77777777" w:rsidR="00872ADF" w:rsidRPr="00B72839" w:rsidRDefault="00872ADF" w:rsidP="0095066B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B72839">
              <w:rPr>
                <w:rFonts w:cs="Tahoma"/>
              </w:rPr>
              <w:t>No</w:t>
            </w:r>
          </w:p>
        </w:tc>
      </w:tr>
    </w:tbl>
    <w:p w14:paraId="08952F56" w14:textId="77777777" w:rsidR="0075091F" w:rsidRPr="0075091F" w:rsidRDefault="0075091F" w:rsidP="0075091F">
      <w:pPr>
        <w:rPr>
          <w:lang w:eastAsia="x-none" w:bidi="ar-SA"/>
        </w:rPr>
      </w:pPr>
    </w:p>
    <w:p w14:paraId="5E45B0C2" w14:textId="77777777" w:rsidR="0075091F" w:rsidRPr="0075091F" w:rsidRDefault="0075091F" w:rsidP="0075091F">
      <w:pPr>
        <w:rPr>
          <w:lang w:eastAsia="x-none" w:bidi="ar-SA"/>
        </w:rPr>
      </w:pPr>
    </w:p>
    <w:p w14:paraId="329AFD5C" w14:textId="77777777" w:rsidR="0075091F" w:rsidRPr="0075091F" w:rsidRDefault="0075091F" w:rsidP="0075091F">
      <w:pPr>
        <w:rPr>
          <w:lang w:eastAsia="x-none" w:bidi="ar-SA"/>
        </w:rPr>
      </w:pPr>
    </w:p>
    <w:p w14:paraId="7EF68810" w14:textId="77777777" w:rsidR="0075091F" w:rsidRPr="0075091F" w:rsidRDefault="0075091F" w:rsidP="0075091F">
      <w:pPr>
        <w:rPr>
          <w:lang w:eastAsia="x-none" w:bidi="ar-SA"/>
        </w:rPr>
      </w:pPr>
    </w:p>
    <w:p w14:paraId="52CEBF41" w14:textId="77777777" w:rsidR="0075091F" w:rsidRPr="0075091F" w:rsidRDefault="0075091F" w:rsidP="0075091F">
      <w:pPr>
        <w:rPr>
          <w:lang w:eastAsia="x-none" w:bidi="ar-SA"/>
        </w:rPr>
      </w:pPr>
    </w:p>
    <w:p w14:paraId="751F854B" w14:textId="77777777"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187DC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224" w:header="1152" w:footer="288" w:gutter="0"/>
          <w:cols w:space="708"/>
          <w:titlePg/>
          <w:docGrid w:linePitch="435"/>
        </w:sectPr>
      </w:pPr>
    </w:p>
    <w:p w14:paraId="51DA7C40" w14:textId="77777777" w:rsidR="00056751" w:rsidRDefault="00056751" w:rsidP="00056751">
      <w:pPr>
        <w:rPr>
          <w:color w:val="000000" w:themeColor="text1"/>
        </w:rPr>
      </w:pPr>
    </w:p>
    <w:sdt>
      <w:sdtPr>
        <w:rPr>
          <w:rFonts w:cs="Tahoma"/>
          <w:b w:val="0"/>
          <w:bCs w:val="0"/>
          <w:sz w:val="20"/>
          <w:szCs w:val="20"/>
          <w:lang w:val="en-US" w:eastAsia="en-US" w:bidi="th-TH"/>
        </w:rPr>
        <w:id w:val="-20300933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100C0" w14:textId="63C82A30" w:rsidR="00224336" w:rsidRPr="00870274" w:rsidRDefault="00870274" w:rsidP="00870274">
          <w:pPr>
            <w:pStyle w:val="Title"/>
            <w:tabs>
              <w:tab w:val="left" w:pos="498"/>
            </w:tabs>
            <w:spacing w:after="360"/>
            <w:jc w:val="left"/>
            <w:rPr>
              <w:rFonts w:eastAsiaTheme="majorEastAsia" w:cs="Tahoma"/>
              <w:sz w:val="20"/>
              <w:szCs w:val="20"/>
              <w:lang w:val="en-US" w:eastAsia="en-US"/>
            </w:rPr>
          </w:pPr>
          <w:r w:rsidRPr="00870274">
            <w:rPr>
              <w:rFonts w:eastAsiaTheme="majorEastAsia" w:cs="Tahoma"/>
              <w:sz w:val="20"/>
              <w:szCs w:val="20"/>
              <w:lang w:val="en-US" w:eastAsia="en-US"/>
            </w:rPr>
            <w:t>Table of Content</w:t>
          </w:r>
        </w:p>
        <w:p w14:paraId="5FBD0BB4" w14:textId="77777777" w:rsidR="00187DCA" w:rsidRDefault="001D272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8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2342796" w:history="1">
            <w:r w:rsidR="00187DCA" w:rsidRPr="00942232">
              <w:rPr>
                <w:rStyle w:val="Hyperlink"/>
              </w:rPr>
              <w:t>1.</w:t>
            </w:r>
            <w:r w:rsidR="00187DC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8"/>
              </w:rPr>
              <w:tab/>
            </w:r>
            <w:r w:rsidR="00187DCA" w:rsidRPr="00942232">
              <w:rPr>
                <w:rStyle w:val="Hyperlink"/>
              </w:rPr>
              <w:t>Indicator</w:t>
            </w:r>
            <w:r w:rsidR="00187DCA">
              <w:rPr>
                <w:webHidden/>
              </w:rPr>
              <w:tab/>
            </w:r>
            <w:r w:rsidR="00187DCA">
              <w:rPr>
                <w:rStyle w:val="Hyperlink"/>
              </w:rPr>
              <w:fldChar w:fldCharType="begin"/>
            </w:r>
            <w:r w:rsidR="00187DCA">
              <w:rPr>
                <w:webHidden/>
              </w:rPr>
              <w:instrText xml:space="preserve"> PAGEREF _Toc2342796 \h </w:instrText>
            </w:r>
            <w:r w:rsidR="00187DCA">
              <w:rPr>
                <w:rStyle w:val="Hyperlink"/>
              </w:rPr>
            </w:r>
            <w:r w:rsidR="00187DCA">
              <w:rPr>
                <w:rStyle w:val="Hyperlink"/>
              </w:rPr>
              <w:fldChar w:fldCharType="separate"/>
            </w:r>
            <w:r w:rsidR="006856A3">
              <w:rPr>
                <w:webHidden/>
              </w:rPr>
              <w:t>4</w:t>
            </w:r>
            <w:r w:rsidR="00187DCA">
              <w:rPr>
                <w:rStyle w:val="Hyperlink"/>
              </w:rPr>
              <w:fldChar w:fldCharType="end"/>
            </w:r>
          </w:hyperlink>
        </w:p>
        <w:p w14:paraId="7276D466" w14:textId="77777777" w:rsidR="00187DCA" w:rsidRDefault="002B4A1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8"/>
            </w:rPr>
          </w:pPr>
          <w:hyperlink w:anchor="_Toc2342797" w:history="1">
            <w:r w:rsidR="00187DCA" w:rsidRPr="00942232">
              <w:rPr>
                <w:rStyle w:val="Hyperlink"/>
              </w:rPr>
              <w:t>2.</w:t>
            </w:r>
            <w:r w:rsidR="00187DC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8"/>
              </w:rPr>
              <w:tab/>
            </w:r>
            <w:r w:rsidR="00187DCA" w:rsidRPr="00942232">
              <w:rPr>
                <w:rStyle w:val="Hyperlink"/>
              </w:rPr>
              <w:t>Target Type</w:t>
            </w:r>
            <w:r w:rsidR="00187DCA">
              <w:rPr>
                <w:webHidden/>
              </w:rPr>
              <w:tab/>
            </w:r>
            <w:r w:rsidR="00187DCA">
              <w:rPr>
                <w:rStyle w:val="Hyperlink"/>
              </w:rPr>
              <w:fldChar w:fldCharType="begin"/>
            </w:r>
            <w:r w:rsidR="00187DCA">
              <w:rPr>
                <w:webHidden/>
              </w:rPr>
              <w:instrText xml:space="preserve"> PAGEREF _Toc2342797 \h </w:instrText>
            </w:r>
            <w:r w:rsidR="00187DCA">
              <w:rPr>
                <w:rStyle w:val="Hyperlink"/>
              </w:rPr>
            </w:r>
            <w:r w:rsidR="00187DCA">
              <w:rPr>
                <w:rStyle w:val="Hyperlink"/>
              </w:rPr>
              <w:fldChar w:fldCharType="separate"/>
            </w:r>
            <w:r w:rsidR="006856A3">
              <w:rPr>
                <w:webHidden/>
              </w:rPr>
              <w:t>5</w:t>
            </w:r>
            <w:r w:rsidR="00187DCA">
              <w:rPr>
                <w:rStyle w:val="Hyperlink"/>
              </w:rPr>
              <w:fldChar w:fldCharType="end"/>
            </w:r>
          </w:hyperlink>
        </w:p>
        <w:p w14:paraId="0A30317C" w14:textId="10BE5405" w:rsidR="00A656F6" w:rsidRPr="001D272D" w:rsidRDefault="001D272D" w:rsidP="000108A0">
          <w:r>
            <w:rPr>
              <w:b/>
              <w:bCs/>
              <w:caps/>
              <w:noProof/>
            </w:rPr>
            <w:fldChar w:fldCharType="end"/>
          </w:r>
        </w:p>
      </w:sdtContent>
    </w:sdt>
    <w:p w14:paraId="05A14595" w14:textId="70AA1004" w:rsidR="00056751" w:rsidRDefault="00056751"/>
    <w:p w14:paraId="33F10CD8" w14:textId="77777777" w:rsidR="001D272D" w:rsidRDefault="001D272D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D032D7" w:rsidRPr="00085B0E" w14:paraId="5346D784" w14:textId="77777777" w:rsidTr="00697248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BACFA" w14:textId="77777777" w:rsidR="00D032D7" w:rsidRPr="00085B0E" w:rsidRDefault="00D032D7" w:rsidP="00697248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17CAA3" w14:textId="77777777" w:rsidR="00D032D7" w:rsidRPr="00085B0E" w:rsidRDefault="00D032D7" w:rsidP="00697248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967229"/>
            <w:bookmarkStart w:id="2" w:name="_Toc2342796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Indicator</w:t>
            </w:r>
            <w:bookmarkEnd w:id="1"/>
            <w:bookmarkEnd w:id="2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C5A48E" w14:textId="77777777" w:rsidR="00D032D7" w:rsidRPr="00085B0E" w:rsidRDefault="00D032D7" w:rsidP="0069724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FC6CD6D" w14:textId="77777777" w:rsidR="00D032D7" w:rsidRPr="00B14489" w:rsidRDefault="00D032D7" w:rsidP="00D032D7">
      <w:pPr>
        <w:rPr>
          <w:color w:val="000000" w:themeColor="text1"/>
        </w:rPr>
      </w:pPr>
    </w:p>
    <w:tbl>
      <w:tblPr>
        <w:tblW w:w="14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110"/>
      </w:tblGrid>
      <w:tr w:rsidR="00D032D7" w:rsidRPr="00050950" w14:paraId="740C1094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8C3ACB5" w14:textId="77777777" w:rsidR="00D032D7" w:rsidRPr="00F4022B" w:rsidRDefault="00D032D7" w:rsidP="0069724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5C57AFD" w14:textId="77777777" w:rsidR="00D032D7" w:rsidRPr="00F4022B" w:rsidRDefault="00D032D7" w:rsidP="0069724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032D7" w:rsidRPr="00050950" w14:paraId="1518EA3C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E4E159" w14:textId="77777777" w:rsidR="00D032D7" w:rsidRPr="00085B0E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Ratio (%)</w:t>
            </w:r>
          </w:p>
        </w:tc>
        <w:tc>
          <w:tcPr>
            <w:tcW w:w="7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A5D63F" w14:textId="119EE4C0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 ตามคำจำกัดความของสถาบันการเงิน</w:t>
            </w:r>
          </w:p>
        </w:tc>
      </w:tr>
      <w:tr w:rsidR="00D032D7" w:rsidRPr="00050950" w14:paraId="797634D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7DEADE0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LCR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4C15F6A" w14:textId="17BA48E2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LCR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B9EE3B2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D69D1C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42038">
              <w:rPr>
                <w:rFonts w:cs="Tahoma"/>
                <w:color w:val="000000" w:themeColor="text1"/>
                <w:lang w:val="en-US" w:eastAsia="en-US"/>
              </w:rPr>
              <w:t>NFSR Ratio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561636" w14:textId="608AC33E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NFSR Ratio </w:t>
            </w:r>
            <w:r w:rsidRPr="0099021D">
              <w:rPr>
                <w:color w:val="000000" w:themeColor="text1"/>
                <w:cs/>
              </w:rPr>
              <w:t xml:space="preserve">ตามวิธีการคำนวณที่ ธปท. กำหนด </w:t>
            </w:r>
          </w:p>
        </w:tc>
      </w:tr>
      <w:tr w:rsidR="00D032D7" w:rsidRPr="00050950" w14:paraId="2EFD210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1E17C" w14:textId="77777777" w:rsidR="00D032D7" w:rsidRPr="00812405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>L/D +BE (%)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83FFE7" w14:textId="467103C1" w:rsidR="00D032D7" w:rsidRPr="00050950" w:rsidRDefault="00D032D7" w:rsidP="006856A3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>อัตราส่วนเงินให้สินเชื่อต่อเงินรับฝากและตั๋วแลกเงิน ตามคำจำกัดความของสถาบันการเงิน</w:t>
            </w:r>
          </w:p>
        </w:tc>
      </w:tr>
      <w:tr w:rsidR="00D032D7" w:rsidRPr="00050950" w14:paraId="68C1E01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E9CB49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 xml:space="preserve">Top </w:t>
            </w:r>
            <w:r w:rsidRPr="0099021D">
              <w:rPr>
                <w:rFonts w:cs="Tahoma"/>
                <w:color w:val="000000" w:themeColor="text1"/>
                <w:cs/>
                <w:lang w:val="en-US" w:eastAsia="en-US"/>
              </w:rPr>
              <w:t xml:space="preserve">20 </w:t>
            </w:r>
            <w:r w:rsidRPr="0099021D">
              <w:rPr>
                <w:rFonts w:cs="Tahoma"/>
                <w:color w:val="000000" w:themeColor="text1"/>
                <w:lang w:val="en-US" w:eastAsia="en-US"/>
              </w:rPr>
              <w:t>Funding / Total Funding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F6A26C" w14:textId="284EE5A6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  <w:cs/>
              </w:rPr>
              <w:t xml:space="preserve">อัตราส่วน </w:t>
            </w:r>
            <w:r w:rsidRPr="0099021D">
              <w:rPr>
                <w:color w:val="000000" w:themeColor="text1"/>
              </w:rPr>
              <w:t xml:space="preserve">Top 20 Funding / Total Funding </w:t>
            </w:r>
            <w:r w:rsidRPr="0099021D">
              <w:rPr>
                <w:color w:val="000000" w:themeColor="text1"/>
                <w:cs/>
              </w:rPr>
              <w:t>ตามคำจำกัดความของสถาบันการเงิน</w:t>
            </w:r>
          </w:p>
        </w:tc>
      </w:tr>
      <w:tr w:rsidR="00D032D7" w:rsidRPr="00050950" w14:paraId="6419FAEF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BE26BF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 xml:space="preserve">Liquidity Gap (≤1 </w:t>
            </w:r>
            <w:proofErr w:type="spellStart"/>
            <w:r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Pr="0099021D">
              <w:rPr>
                <w:rFonts w:cs="Tahoma"/>
                <w:color w:val="000000" w:themeColor="text1"/>
                <w:lang w:val="en-US" w:eastAsia="en-US"/>
              </w:rPr>
              <w:t>) - Contractual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9E1522A" w14:textId="77777777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Contractual Gap </w:t>
            </w:r>
            <w:r w:rsidRPr="0099021D">
              <w:rPr>
                <w:color w:val="000000" w:themeColor="text1"/>
                <w:cs/>
              </w:rPr>
              <w:t xml:space="preserve">สะสมที่มีระยะเวลาน้อยกว่าหรือเท่ากับ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  <w:tr w:rsidR="00D032D7" w:rsidRPr="00050950" w14:paraId="542EEF2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3BC8F52" w14:textId="77777777" w:rsidR="00D032D7" w:rsidRPr="00C42038" w:rsidRDefault="00D032D7" w:rsidP="0069724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9021D">
              <w:rPr>
                <w:rFonts w:cs="Tahoma"/>
                <w:color w:val="000000" w:themeColor="text1"/>
                <w:lang w:val="en-US" w:eastAsia="en-US"/>
              </w:rPr>
              <w:t xml:space="preserve">Liquidity Gap (≤1 </w:t>
            </w:r>
            <w:proofErr w:type="spellStart"/>
            <w:r w:rsidRPr="0099021D">
              <w:rPr>
                <w:rFonts w:cs="Tahoma"/>
                <w:color w:val="000000" w:themeColor="text1"/>
                <w:lang w:val="en-US" w:eastAsia="en-US"/>
              </w:rPr>
              <w:t>Mth</w:t>
            </w:r>
            <w:proofErr w:type="spellEnd"/>
            <w:r w:rsidRPr="0099021D">
              <w:rPr>
                <w:rFonts w:cs="Tahoma"/>
                <w:color w:val="000000" w:themeColor="text1"/>
                <w:lang w:val="en-US" w:eastAsia="en-US"/>
              </w:rPr>
              <w:t>) - Behavior</w:t>
            </w:r>
          </w:p>
        </w:tc>
        <w:tc>
          <w:tcPr>
            <w:tcW w:w="7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3173B" w14:textId="1F52F7BB" w:rsidR="00D032D7" w:rsidRPr="00050950" w:rsidRDefault="00D032D7" w:rsidP="00697248">
            <w:pPr>
              <w:spacing w:before="120" w:line="360" w:lineRule="auto"/>
              <w:rPr>
                <w:color w:val="000000" w:themeColor="text1"/>
              </w:rPr>
            </w:pPr>
            <w:r w:rsidRPr="0099021D">
              <w:rPr>
                <w:color w:val="000000" w:themeColor="text1"/>
              </w:rPr>
              <w:t xml:space="preserve">Behavior Gap </w:t>
            </w:r>
            <w:r w:rsidRPr="0099021D">
              <w:rPr>
                <w:color w:val="000000" w:themeColor="text1"/>
                <w:cs/>
              </w:rPr>
              <w:t>สะสม</w:t>
            </w:r>
            <w:r w:rsidR="0083274A">
              <w:rPr>
                <w:rFonts w:hint="cs"/>
                <w:color w:val="000000" w:themeColor="text1"/>
                <w:cs/>
              </w:rPr>
              <w:t>ที่</w:t>
            </w:r>
            <w:r w:rsidRPr="0099021D">
              <w:rPr>
                <w:color w:val="000000" w:themeColor="text1"/>
                <w:cs/>
              </w:rPr>
              <w:t xml:space="preserve">มีระยะเวลาน้อยกว่าหรือเท่ากับ </w:t>
            </w:r>
            <w:r w:rsidRPr="0099021D">
              <w:rPr>
                <w:color w:val="000000" w:themeColor="text1"/>
              </w:rPr>
              <w:t xml:space="preserve">1 </w:t>
            </w:r>
            <w:r w:rsidRPr="0099021D">
              <w:rPr>
                <w:color w:val="000000" w:themeColor="text1"/>
                <w:cs/>
              </w:rPr>
              <w:t>เดือน</w:t>
            </w:r>
          </w:p>
        </w:tc>
      </w:tr>
    </w:tbl>
    <w:p w14:paraId="16C374F1" w14:textId="6977740B" w:rsidR="00D032D7" w:rsidRDefault="00D032D7"/>
    <w:p w14:paraId="403A1F13" w14:textId="77777777" w:rsidR="00D032D7" w:rsidRPr="0083274A" w:rsidRDefault="00D032D7">
      <w:pPr>
        <w:rPr>
          <w:cs/>
        </w:rPr>
      </w:pPr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7F470A" w:rsidRPr="00085B0E" w14:paraId="599B449B" w14:textId="77777777" w:rsidTr="00D8531A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DE0C9" w14:textId="741E0F33" w:rsidR="007F470A" w:rsidRPr="00085B0E" w:rsidRDefault="007F470A" w:rsidP="00D8531A">
            <w:pPr>
              <w:rPr>
                <w:b/>
                <w:bCs/>
                <w:color w:val="000000" w:themeColor="text1"/>
              </w:rPr>
            </w:pPr>
            <w:r w:rsidRPr="00085B0E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F55410" w14:textId="77777777" w:rsidR="007F470A" w:rsidRPr="00085B0E" w:rsidRDefault="007F470A" w:rsidP="007F470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959106"/>
            <w:bookmarkStart w:id="4" w:name="_Toc2342797"/>
            <w:r w:rsidRPr="007F470A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Target Type</w:t>
            </w:r>
            <w:bookmarkEnd w:id="3"/>
            <w:bookmarkEnd w:id="4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A6C9DF" w14:textId="77777777" w:rsidR="007F470A" w:rsidRPr="00085B0E" w:rsidRDefault="007F470A" w:rsidP="00D8531A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DC73B09" w14:textId="77777777" w:rsidR="00A656F6" w:rsidRDefault="00A656F6" w:rsidP="000108A0">
      <w:pPr>
        <w:rPr>
          <w:color w:val="000000" w:themeColor="text1"/>
        </w:rPr>
      </w:pPr>
    </w:p>
    <w:tbl>
      <w:tblPr>
        <w:tblW w:w="142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6"/>
        <w:gridCol w:w="7200"/>
      </w:tblGrid>
      <w:tr w:rsidR="00A2402C" w:rsidRPr="00050950" w14:paraId="49C2C9AB" w14:textId="77777777" w:rsidTr="00187DCA">
        <w:trPr>
          <w:cantSplit/>
          <w:trHeight w:val="291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EC3BDBC" w14:textId="77777777" w:rsidR="00A2402C" w:rsidRPr="00F4022B" w:rsidRDefault="00A2402C" w:rsidP="008501D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65298F6" w14:textId="77777777" w:rsidR="00A2402C" w:rsidRPr="00F4022B" w:rsidRDefault="00A2402C" w:rsidP="008501D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F4022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2402C" w:rsidRPr="00050950" w14:paraId="42335A0D" w14:textId="77777777" w:rsidTr="00187DCA">
        <w:trPr>
          <w:cantSplit/>
          <w:trHeight w:val="291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BF76B8" w14:textId="7BF284A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total loans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C3A4343" w14:textId="718ABEA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เป้าหมายการขยายสินเชื่อรวม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6524670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2701A" w14:textId="21D7AB1C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Corporate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6364F2" w14:textId="45254414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Corporate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3F346F6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91BD47" w14:textId="58392828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SMEs loans</w:t>
            </w:r>
            <w:r w:rsidR="000A5E5B">
              <w:rPr>
                <w:rFonts w:cs="Tahoma"/>
                <w:color w:val="000000" w:themeColor="text1"/>
                <w:vertAlign w:val="superscript"/>
                <w:lang w:val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17340C" w14:textId="48C3391F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SMEs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4D7C9E0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A1867F" w14:textId="23C678F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Retail loans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B1A110" w14:textId="109C1B7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เป้าหมายการขยายสินเชื่อ </w:t>
            </w:r>
            <w:r w:rsidRPr="00155E0C">
              <w:rPr>
                <w:color w:val="000000" w:themeColor="text1"/>
              </w:rPr>
              <w:t>Retail</w:t>
            </w:r>
          </w:p>
        </w:tc>
      </w:tr>
      <w:tr w:rsidR="00A2402C" w:rsidRPr="00050950" w14:paraId="59B83FE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C6793C" w14:textId="15B1C8A4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Hire purchase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25C9B7" w14:textId="5F52B4A6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เป้าหมายการขยายสินเชื่อเช่าซื้อ</w:t>
            </w:r>
          </w:p>
        </w:tc>
      </w:tr>
      <w:tr w:rsidR="00A2402C" w:rsidRPr="00050950" w14:paraId="08E5256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796E1F" w14:textId="538828C2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Housing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9825AE1" w14:textId="0EAEE142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เป้าหมายการขยายสินเชื่อที่อยู่อาศัย</w:t>
            </w:r>
          </w:p>
        </w:tc>
      </w:tr>
      <w:tr w:rsidR="00A2402C" w:rsidRPr="00050950" w14:paraId="114CEBC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D7EA8E" w14:textId="368858E5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Credit card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B4E2E24" w14:textId="362DCD6A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เป้าหมายการขยายสินเชื่อบัตรเครดิต</w:t>
            </w:r>
          </w:p>
        </w:tc>
      </w:tr>
      <w:tr w:rsidR="00A2402C" w:rsidRPr="00050950" w14:paraId="07756F7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586374" w14:textId="1243D340" w:rsidR="00A2402C" w:rsidRPr="00155E0C" w:rsidRDefault="00F3049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Personal loans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EC2C8A" w14:textId="4353BAF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เป้าหมายการขยายสินเชื่อส่วนบุคคล</w:t>
            </w:r>
          </w:p>
        </w:tc>
      </w:tr>
      <w:tr w:rsidR="00A2402C" w:rsidRPr="00050950" w14:paraId="6DEC4EB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C6A7F7" w14:textId="101AC3C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Deposit (excluded Interbank</w:t>
            </w:r>
            <w:r w:rsidR="000A5E5B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 xml:space="preserve"> </w:t>
            </w:r>
            <w:r w:rsidR="00D318F3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26B4A1" w14:textId="72810311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เป้าหมายการขยายเงินรับฝาก (ไม่รวม </w:t>
            </w:r>
            <w:r w:rsidRPr="00155E0C">
              <w:rPr>
                <w:color w:val="000000" w:themeColor="text1"/>
              </w:rPr>
              <w:t>Interbank)</w:t>
            </w:r>
          </w:p>
        </w:tc>
      </w:tr>
      <w:tr w:rsidR="00A2402C" w:rsidRPr="00050950" w14:paraId="5B0F3CA3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BD48CF" w14:textId="0DE8E192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Growth Borrowing Interbank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9EF44E" w14:textId="414857D5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เป้าหมายเงินกู้ยืม </w:t>
            </w:r>
            <w:r w:rsidRPr="00155E0C">
              <w:rPr>
                <w:color w:val="000000" w:themeColor="text1"/>
              </w:rPr>
              <w:t>Interbank</w:t>
            </w:r>
          </w:p>
        </w:tc>
      </w:tr>
      <w:tr w:rsidR="00A2402C" w:rsidRPr="00050950" w14:paraId="118E10E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2BC1C4" w14:textId="1D484E93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Gro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 xml:space="preserve">wth Borrowing 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>(</w:t>
            </w:r>
            <w:r w:rsidR="00D318F3" w:rsidRPr="00155E0C">
              <w:rPr>
                <w:rFonts w:cs="Tahoma"/>
                <w:color w:val="000000" w:themeColor="text1"/>
                <w:lang w:val="en-US" w:eastAsia="en-US"/>
              </w:rPr>
              <w:t>excluded Interbank</w:t>
            </w:r>
            <w:r w:rsidR="0083274A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3274A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1/</w:t>
            </w:r>
            <w:r w:rsidR="0083274A" w:rsidRPr="00155E0C">
              <w:rPr>
                <w:rFonts w:cs="Tahoma"/>
                <w:color w:val="000000" w:themeColor="text1"/>
                <w:lang w:val="en-US" w:eastAsia="en-US"/>
              </w:rPr>
              <w:t>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B53A66" w14:textId="33A30CCB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เป้าหมายเงินกู้ยืม</w:t>
            </w:r>
            <w:r w:rsidR="0083274A">
              <w:rPr>
                <w:rFonts w:hint="cs"/>
                <w:color w:val="000000" w:themeColor="text1"/>
                <w:cs/>
              </w:rPr>
              <w:t xml:space="preserve"> (</w:t>
            </w:r>
            <w:r w:rsidRPr="00155E0C">
              <w:rPr>
                <w:color w:val="000000" w:themeColor="text1"/>
                <w:cs/>
              </w:rPr>
              <w:t xml:space="preserve">ไม่รวม </w:t>
            </w:r>
            <w:r w:rsidRPr="00155E0C">
              <w:rPr>
                <w:color w:val="000000" w:themeColor="text1"/>
              </w:rPr>
              <w:t>Interbank</w:t>
            </w:r>
            <w:r w:rsidR="0083274A">
              <w:rPr>
                <w:color w:val="000000" w:themeColor="text1"/>
              </w:rPr>
              <w:t>)</w:t>
            </w:r>
          </w:p>
        </w:tc>
      </w:tr>
      <w:tr w:rsidR="00A2402C" w:rsidRPr="00050950" w14:paraId="41908477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49A2A5" w14:textId="6DD5069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proofErr w:type="spellStart"/>
            <w:r w:rsidRPr="00155E0C">
              <w:rPr>
                <w:rFonts w:cs="Tahoma"/>
                <w:color w:val="000000" w:themeColor="text1"/>
                <w:lang w:val="en-US" w:eastAsia="en-US"/>
              </w:rPr>
              <w:t>Non interest</w:t>
            </w:r>
            <w:proofErr w:type="spellEnd"/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income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/>
              </w:rPr>
              <w:t>2/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 xml:space="preserve"> (Non NII)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2F163DA" w14:textId="325E8E1D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เป้าหมายรายได้ที่ไม่ใช่ดอกเบี้ย (</w:t>
            </w:r>
            <w:r w:rsidRPr="00155E0C">
              <w:rPr>
                <w:color w:val="000000" w:themeColor="text1"/>
              </w:rPr>
              <w:t>Non NII)</w:t>
            </w:r>
          </w:p>
        </w:tc>
      </w:tr>
      <w:tr w:rsidR="00A2402C" w:rsidRPr="00050950" w14:paraId="0FF360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37B9A5" w14:textId="6669400D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Fee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ED9ADF5" w14:textId="40B7C859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>เป้าหมายรายได้ค่าธรรมเนียม</w:t>
            </w:r>
          </w:p>
        </w:tc>
      </w:tr>
      <w:tr w:rsidR="00A2402C" w:rsidRPr="00050950" w14:paraId="631D6C7B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FC83E2" w14:textId="243EC44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Cost to Income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5C25A8" w14:textId="14C09E5C" w:rsidR="00A2402C" w:rsidRPr="00155E0C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155E0C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155E0C">
              <w:rPr>
                <w:color w:val="000000" w:themeColor="text1"/>
              </w:rPr>
              <w:t>Cost to Income (%)</w:t>
            </w:r>
          </w:p>
        </w:tc>
      </w:tr>
      <w:tr w:rsidR="00A2402C" w:rsidRPr="00050950" w14:paraId="4DCC629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E42C36" w14:textId="0242B8BC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 xml:space="preserve">Net Income 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A80E48A" w14:textId="47832649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เป้าหมายกำไร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(ขาดทุน)</w:t>
            </w:r>
            <w:r w:rsidR="000A5E5B">
              <w:rPr>
                <w:rFonts w:hint="cs"/>
                <w:color w:val="000000" w:themeColor="text1"/>
                <w:cs/>
              </w:rPr>
              <w:t xml:space="preserve"> </w:t>
            </w:r>
            <w:r w:rsidRPr="00D318F3">
              <w:rPr>
                <w:color w:val="000000" w:themeColor="text1"/>
                <w:cs/>
              </w:rPr>
              <w:t>สุทธิ</w:t>
            </w:r>
          </w:p>
        </w:tc>
      </w:tr>
      <w:tr w:rsidR="00A2402C" w:rsidRPr="00050950" w14:paraId="6285861D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378604" w14:textId="16FDE03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NPL (Gross)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1CFF93" w14:textId="2ED0C872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 xml:space="preserve">เป้าหมาย </w:t>
            </w:r>
            <w:r w:rsidRPr="00D318F3">
              <w:rPr>
                <w:color w:val="000000" w:themeColor="text1"/>
              </w:rPr>
              <w:t>NPL (Gross)</w:t>
            </w:r>
          </w:p>
        </w:tc>
      </w:tr>
      <w:tr w:rsidR="00A2402C" w:rsidRPr="00050950" w14:paraId="52357310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A715E1" w14:textId="248E9B4F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NPL (Net)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FF3F8A" w14:textId="5FA2E822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 xml:space="preserve">เป้าหมาย </w:t>
            </w:r>
            <w:r w:rsidRPr="00D318F3">
              <w:rPr>
                <w:color w:val="000000" w:themeColor="text1"/>
              </w:rPr>
              <w:t>NPL (Net)</w:t>
            </w:r>
          </w:p>
        </w:tc>
      </w:tr>
      <w:tr w:rsidR="00A2402C" w:rsidRPr="00050950" w14:paraId="2CC1136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37B05C" w14:textId="649C7DF8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NIM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B75AED6" w14:textId="201521A7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D318F3">
              <w:rPr>
                <w:color w:val="000000" w:themeColor="text1"/>
              </w:rPr>
              <w:t>NIM (%)</w:t>
            </w:r>
          </w:p>
        </w:tc>
      </w:tr>
      <w:tr w:rsidR="00A2402C" w:rsidRPr="00050950" w14:paraId="559812A1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A71530" w14:textId="62998761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ROA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E4AB9A" w14:textId="08E3B0D0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D318F3">
              <w:rPr>
                <w:color w:val="000000" w:themeColor="text1"/>
              </w:rPr>
              <w:t>ROA (%)</w:t>
            </w:r>
          </w:p>
        </w:tc>
      </w:tr>
      <w:tr w:rsidR="00A2402C" w:rsidRPr="00050950" w14:paraId="13EAA129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545D3C" w14:textId="0D60AA45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vertAlign w:val="superscript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</w:t>
            </w:r>
            <w:r w:rsidR="00F4687B" w:rsidRPr="00155E0C">
              <w:rPr>
                <w:rFonts w:cs="Tahoma"/>
                <w:color w:val="000000" w:themeColor="text1"/>
                <w:lang w:val="en-US" w:eastAsia="en-US"/>
              </w:rPr>
              <w:t>R</w:t>
            </w:r>
            <w:r w:rsidRPr="00155E0C">
              <w:rPr>
                <w:rFonts w:cs="Tahoma"/>
                <w:color w:val="000000" w:themeColor="text1"/>
                <w:lang w:val="en-US" w:eastAsia="en-US"/>
              </w:rPr>
              <w:t>WA</w:t>
            </w:r>
            <w:r w:rsidR="000A5E5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8070E8" w:rsidRPr="00155E0C">
              <w:rPr>
                <w:rFonts w:cs="Tahoma"/>
                <w:color w:val="000000" w:themeColor="text1"/>
                <w:vertAlign w:val="superscript"/>
                <w:lang w:val="en-US" w:eastAsia="en-US"/>
              </w:rPr>
              <w:t>3/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C898CC9" w14:textId="3AE405BC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 xml:space="preserve">เป้าหมายอัตราส่วน </w:t>
            </w:r>
            <w:r>
              <w:rPr>
                <w:color w:val="000000" w:themeColor="text1"/>
              </w:rPr>
              <w:t>RORWA (%)</w:t>
            </w:r>
          </w:p>
        </w:tc>
      </w:tr>
      <w:tr w:rsidR="00A2402C" w:rsidRPr="00050950" w14:paraId="27FC3F3C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B317FE" w14:textId="06208AEF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ROE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AC1DB4" w14:textId="0FB09B3E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 xml:space="preserve">เป้าหมายอัตราส่วน </w:t>
            </w:r>
            <w:r w:rsidRPr="00D318F3">
              <w:rPr>
                <w:color w:val="000000" w:themeColor="text1"/>
              </w:rPr>
              <w:t>ROE (%)</w:t>
            </w:r>
          </w:p>
        </w:tc>
      </w:tr>
      <w:tr w:rsidR="00A2402C" w:rsidRPr="00050950" w14:paraId="6E3B86D5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6CE249" w14:textId="297EABD9" w:rsidR="00A2402C" w:rsidRPr="00155E0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155E0C">
              <w:rPr>
                <w:rFonts w:cs="Tahoma"/>
                <w:color w:val="000000" w:themeColor="text1"/>
                <w:lang w:val="en-US" w:eastAsia="en-US"/>
              </w:rPr>
              <w:t>Capital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31C410" w14:textId="4312C4B1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เป้าหมายเงินกองทุนตามกฎหมาย</w:t>
            </w:r>
          </w:p>
        </w:tc>
      </w:tr>
      <w:tr w:rsidR="00A2402C" w:rsidRPr="00050950" w14:paraId="744D241E" w14:textId="77777777" w:rsidTr="00187DCA">
        <w:trPr>
          <w:cantSplit/>
          <w:trHeight w:val="291"/>
        </w:trPr>
        <w:tc>
          <w:tcPr>
            <w:tcW w:w="7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0EF739B" w14:textId="7B936012" w:rsidR="00A2402C" w:rsidRDefault="00A2402C" w:rsidP="00A240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6751">
              <w:rPr>
                <w:rFonts w:cs="Tahoma"/>
                <w:color w:val="000000" w:themeColor="text1"/>
                <w:lang w:val="en-US" w:eastAsia="en-US"/>
              </w:rPr>
              <w:t>BIS Ratio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32E378" w14:textId="05A05B8B" w:rsidR="00A2402C" w:rsidRPr="00050950" w:rsidRDefault="00D318F3" w:rsidP="00A2402C">
            <w:pPr>
              <w:spacing w:before="120" w:line="360" w:lineRule="auto"/>
              <w:rPr>
                <w:color w:val="000000" w:themeColor="text1"/>
              </w:rPr>
            </w:pPr>
            <w:r w:rsidRPr="00D318F3">
              <w:rPr>
                <w:color w:val="000000" w:themeColor="text1"/>
                <w:cs/>
              </w:rPr>
              <w:t>เป้าหมายอัตราส่วนเงินกองทุนต่อสินทรัพย์เสี่ยง (%)</w:t>
            </w:r>
          </w:p>
        </w:tc>
      </w:tr>
    </w:tbl>
    <w:p w14:paraId="088F9876" w14:textId="1B6B7809" w:rsidR="00682F16" w:rsidRPr="00056751" w:rsidRDefault="00682F16" w:rsidP="00056751">
      <w:pPr>
        <w:spacing w:before="120"/>
        <w:rPr>
          <w:rFonts w:eastAsia="Calibri"/>
        </w:rPr>
      </w:pPr>
      <w:r w:rsidRPr="00056751">
        <w:rPr>
          <w:rFonts w:eastAsia="Calibri" w:hint="cs"/>
          <w:cs/>
        </w:rPr>
        <w:t>หมายเหตุ</w:t>
      </w:r>
    </w:p>
    <w:p w14:paraId="7AE959B5" w14:textId="7ABB10F8" w:rsidR="00D318F3" w:rsidRPr="00D318F3" w:rsidRDefault="00D318F3" w:rsidP="00D318F3">
      <w:pPr>
        <w:spacing w:before="120"/>
        <w:ind w:left="270" w:hanging="270"/>
        <w:rPr>
          <w:rFonts w:eastAsia="Calibri"/>
        </w:rPr>
      </w:pPr>
      <w:r w:rsidRPr="000A5E5B">
        <w:rPr>
          <w:rFonts w:eastAsia="Calibri"/>
          <w:vertAlign w:val="superscript"/>
        </w:rPr>
        <w:t>1/</w:t>
      </w:r>
      <w:r w:rsidRPr="00D318F3">
        <w:rPr>
          <w:rFonts w:eastAsia="Calibri"/>
        </w:rPr>
        <w:t xml:space="preserve"> Interbank </w:t>
      </w:r>
      <w:r w:rsidRPr="00D318F3">
        <w:rPr>
          <w:rFonts w:eastAsia="Calibri"/>
          <w:cs/>
        </w:rPr>
        <w:t>หมายถึงธนาคารพาณิชย์จดทะเบียนในประเทศไทย สาขาธนาคารพาณิชย์ต่างประเทศ บริษัทลูกของธนาคาร</w:t>
      </w:r>
      <w:r>
        <w:rPr>
          <w:rFonts w:eastAsia="Calibri"/>
          <w:cs/>
        </w:rPr>
        <w:t xml:space="preserve">พาณิชย์ต่างประเทศ บริษัทเงินทุน </w:t>
      </w:r>
      <w:r w:rsidRPr="00D318F3">
        <w:rPr>
          <w:rFonts w:eastAsia="Calibri"/>
          <w:cs/>
        </w:rPr>
        <w:t xml:space="preserve">บริษัทเครดิตฟองซิเอร์ และสถาบันการเงินเฉพาะกิจ </w:t>
      </w:r>
    </w:p>
    <w:p w14:paraId="65236A8A" w14:textId="77777777" w:rsidR="00D318F3" w:rsidRPr="00D318F3" w:rsidRDefault="00D318F3" w:rsidP="00D318F3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2/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 xml:space="preserve">โปรดระบุคำจำกัดความสินเชื่อ </w:t>
      </w:r>
      <w:proofErr w:type="gramStart"/>
      <w:r w:rsidRPr="00D318F3">
        <w:rPr>
          <w:rFonts w:eastAsia="Calibri"/>
        </w:rPr>
        <w:t>Corporate  SMEs</w:t>
      </w:r>
      <w:proofErr w:type="gramEnd"/>
      <w:r w:rsidRPr="00D318F3">
        <w:rPr>
          <w:rFonts w:eastAsia="Calibri"/>
        </w:rPr>
        <w:t xml:space="preserve">  Retail  </w:t>
      </w:r>
      <w:r w:rsidRPr="00D318F3">
        <w:rPr>
          <w:rFonts w:eastAsia="Calibri"/>
          <w:cs/>
        </w:rPr>
        <w:t xml:space="preserve">และ </w:t>
      </w:r>
      <w:r w:rsidRPr="00D318F3">
        <w:rPr>
          <w:rFonts w:eastAsia="Calibri"/>
        </w:rPr>
        <w:t xml:space="preserve">Non Interest income </w:t>
      </w:r>
      <w:r w:rsidRPr="00D318F3">
        <w:rPr>
          <w:rFonts w:eastAsia="Calibri"/>
          <w:cs/>
        </w:rPr>
        <w:t xml:space="preserve">ตามคำจำกัดความของสถาบันการเงิน </w:t>
      </w:r>
    </w:p>
    <w:p w14:paraId="3972A6DB" w14:textId="77EEB7C5" w:rsidR="00D318F3" w:rsidRPr="00056751" w:rsidRDefault="00D318F3" w:rsidP="00187DCA">
      <w:pPr>
        <w:spacing w:before="120"/>
        <w:rPr>
          <w:rFonts w:eastAsia="Calibri"/>
        </w:rPr>
      </w:pPr>
      <w:r w:rsidRPr="000A5E5B">
        <w:rPr>
          <w:rFonts w:eastAsia="Calibri"/>
          <w:vertAlign w:val="superscript"/>
        </w:rPr>
        <w:t>3/</w:t>
      </w:r>
      <w:r w:rsidRPr="00D318F3">
        <w:rPr>
          <w:rFonts w:eastAsia="Calibri"/>
        </w:rPr>
        <w:t xml:space="preserve"> </w:t>
      </w:r>
      <w:r w:rsidRPr="00D318F3">
        <w:rPr>
          <w:rFonts w:eastAsia="Calibri"/>
          <w:cs/>
        </w:rPr>
        <w:t>อัตราส่วนกำไร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(ขาดทุน)</w:t>
      </w:r>
      <w:r w:rsidR="001A0846">
        <w:rPr>
          <w:rFonts w:eastAsia="Calibri" w:hint="cs"/>
          <w:cs/>
        </w:rPr>
        <w:t xml:space="preserve"> </w:t>
      </w:r>
      <w:r w:rsidRPr="00D318F3">
        <w:rPr>
          <w:rFonts w:eastAsia="Calibri"/>
          <w:cs/>
        </w:rPr>
        <w:t>สุทธิ ต่อสินทรัพย์เสี่ยง</w:t>
      </w:r>
    </w:p>
    <w:sectPr w:rsidR="00D318F3" w:rsidRPr="00056751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7B2A7" w14:textId="77777777" w:rsidR="00D27F19" w:rsidRDefault="00D27F19" w:rsidP="000108A0">
      <w:r>
        <w:separator/>
      </w:r>
    </w:p>
  </w:endnote>
  <w:endnote w:type="continuationSeparator" w:id="0">
    <w:p w14:paraId="4C6A48B1" w14:textId="77777777" w:rsidR="00D27F19" w:rsidRDefault="00D27F19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83D5F" w14:textId="77777777" w:rsidR="002B4A1A" w:rsidRDefault="002B4A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FE6C" w14:textId="2C8C0E64" w:rsidR="00C47EEE" w:rsidRDefault="00187DCA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A105185" wp14:editId="2F491DF6">
              <wp:simplePos x="0" y="0"/>
              <wp:positionH relativeFrom="margin">
                <wp:posOffset>4697095</wp:posOffset>
              </wp:positionH>
              <wp:positionV relativeFrom="paragraph">
                <wp:posOffset>-74295</wp:posOffset>
              </wp:positionV>
              <wp:extent cx="440690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069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2F9DF" w14:textId="466CC2B9" w:rsidR="00C47EEE" w:rsidRPr="00ED2354" w:rsidRDefault="00C47EE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 w:rsidR="000074A3">
                            <w:t xml:space="preserve"> DOCUMENT</w:t>
                          </w:r>
                        </w:p>
                        <w:p w14:paraId="11189F54" w14:textId="61F5E9C0" w:rsidR="00C47EEE" w:rsidRDefault="002B4A1A" w:rsidP="00682F16">
                          <w:pPr>
                            <w:spacing w:before="120"/>
                            <w:jc w:val="right"/>
                          </w:pPr>
                          <w:r>
                            <w:t>Risk Management</w:t>
                          </w:r>
                          <w:r w:rsidR="00682F16">
                            <w:t xml:space="preserve"> Classification Document Version</w:t>
                          </w:r>
                          <w:r w:rsidR="00682F16" w:rsidRPr="00ED2354">
                            <w:t xml:space="preserve"> </w:t>
                          </w:r>
                          <w:r w:rsidR="00682F16"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518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369.85pt;margin-top:-5.85pt;width:34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ZttgIAALs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" filled="f" stroked="f">
              <v:textbox>
                <w:txbxContent>
                  <w:p w14:paraId="1562F9DF" w14:textId="466CC2B9" w:rsidR="00C47EEE" w:rsidRPr="00ED2354" w:rsidRDefault="00C47EE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 w:rsidR="000074A3">
                      <w:t xml:space="preserve"> DOCUMENT</w:t>
                    </w:r>
                  </w:p>
                  <w:p w14:paraId="11189F54" w14:textId="61F5E9C0" w:rsidR="00C47EEE" w:rsidRDefault="002B4A1A" w:rsidP="00682F16">
                    <w:pPr>
                      <w:spacing w:before="120"/>
                      <w:jc w:val="right"/>
                    </w:pPr>
                    <w:r>
                      <w:t>Risk Management</w:t>
                    </w:r>
                    <w:r w:rsidR="00682F16">
                      <w:t xml:space="preserve"> Classification Document Version</w:t>
                    </w:r>
                    <w:r w:rsidR="00682F16" w:rsidRPr="00ED2354">
                      <w:t xml:space="preserve"> </w:t>
                    </w:r>
                    <w:r w:rsidR="00682F16">
                      <w:t>1.0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85C908" wp14:editId="1ABCEE35">
              <wp:simplePos x="0" y="0"/>
              <wp:positionH relativeFrom="margin">
                <wp:align>left</wp:align>
              </wp:positionH>
              <wp:positionV relativeFrom="paragraph">
                <wp:posOffset>-169545</wp:posOffset>
              </wp:positionV>
              <wp:extent cx="9047480" cy="0"/>
              <wp:effectExtent l="0" t="0" r="20320" b="19050"/>
              <wp:wrapNone/>
              <wp:docPr id="189" name="Straight Connector 1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56D82" id="Straight Connector 189" o:spid="_x0000_s1026" style="position:absolute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-13.35pt" to="712.4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" strokecolor="black [3213]">
              <w10:wrap anchorx="margin"/>
            </v:line>
          </w:pict>
        </mc:Fallback>
      </mc:AlternateContent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29B1D32" wp14:editId="2B84A9F0">
              <wp:simplePos x="0" y="0"/>
              <wp:positionH relativeFrom="column">
                <wp:posOffset>347345</wp:posOffset>
              </wp:positionH>
              <wp:positionV relativeFrom="paragraph">
                <wp:posOffset>-52070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BFDBE" w14:textId="77777777"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4024527" w14:textId="77777777"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B1D32" id="Text Box 19" o:spid="_x0000_s1027" type="#_x0000_t202" style="position:absolute;margin-left:27.35pt;margin-top:-4.1pt;width:174.3pt;height:3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" filled="f" stroked="f">
              <v:textbox>
                <w:txbxContent>
                  <w:p w14:paraId="71BBFDBE" w14:textId="77777777"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4024527" w14:textId="77777777"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2713D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3F20097" wp14:editId="1B62DA1C">
          <wp:simplePos x="0" y="0"/>
          <wp:positionH relativeFrom="column">
            <wp:posOffset>21590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34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EEE">
      <w:tab/>
    </w:r>
    <w:r w:rsidR="00C47EEE">
      <w:tab/>
      <w:t xml:space="preserve">- </w:t>
    </w:r>
    <w:r w:rsidR="00C47EEE">
      <w:fldChar w:fldCharType="begin"/>
    </w:r>
    <w:r w:rsidR="00C47EEE">
      <w:instrText xml:space="preserve"> PAGE   \* MERGEFORMAT </w:instrText>
    </w:r>
    <w:r w:rsidR="00C47EEE">
      <w:fldChar w:fldCharType="separate"/>
    </w:r>
    <w:r w:rsidR="002B4A1A" w:rsidRPr="002B4A1A">
      <w:rPr>
        <w:b/>
        <w:noProof/>
      </w:rPr>
      <w:t>6</w:t>
    </w:r>
    <w:r w:rsidR="00C47EEE">
      <w:fldChar w:fldCharType="end"/>
    </w:r>
    <w:r w:rsidR="00C47EEE">
      <w:rPr>
        <w:b/>
      </w:rPr>
      <w:t xml:space="preserve"> </w:t>
    </w:r>
    <w:r w:rsidR="00C47EEE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247A" w14:textId="11DD2C2E" w:rsidR="00C47EEE" w:rsidRDefault="00187DC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99FF6" wp14:editId="09F469F4">
              <wp:simplePos x="0" y="0"/>
              <wp:positionH relativeFrom="column">
                <wp:posOffset>5183505</wp:posOffset>
              </wp:positionH>
              <wp:positionV relativeFrom="paragraph">
                <wp:posOffset>-339725</wp:posOffset>
              </wp:positionV>
              <wp:extent cx="403733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33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8E0B5" w14:textId="41BE8E7A" w:rsidR="00C47EEE" w:rsidRPr="00ED2354" w:rsidRDefault="00C47EE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 w:rsidR="000074A3">
                            <w:t xml:space="preserve"> DOCUMENT</w:t>
                          </w:r>
                        </w:p>
                        <w:p w14:paraId="73615219" w14:textId="6C59A8DE" w:rsidR="00C47EEE" w:rsidRDefault="000074A3" w:rsidP="000108A0">
                          <w:pPr>
                            <w:spacing w:before="120"/>
                            <w:jc w:val="right"/>
                          </w:pPr>
                          <w:r>
                            <w:t>R</w:t>
                          </w:r>
                          <w:r w:rsidR="002B4A1A">
                            <w:t>isk Management</w:t>
                          </w:r>
                          <w:r>
                            <w:t xml:space="preserve"> C</w:t>
                          </w:r>
                          <w:r w:rsidR="00C47EEE">
                            <w:t>lassification Document Version</w:t>
                          </w:r>
                          <w:r w:rsidR="00C47EEE"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C47EEE">
                            <w:t>.0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99FF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08.15pt;margin-top:-26.75pt;width:317.9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a3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" filled="f" stroked="f">
              <v:textbox>
                <w:txbxContent>
                  <w:p w14:paraId="56C8E0B5" w14:textId="41BE8E7A" w:rsidR="00C47EEE" w:rsidRPr="00ED2354" w:rsidRDefault="00C47EE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 w:rsidR="000074A3">
                      <w:t xml:space="preserve"> DOCUMENT</w:t>
                    </w:r>
                  </w:p>
                  <w:p w14:paraId="73615219" w14:textId="6C59A8DE" w:rsidR="00C47EEE" w:rsidRDefault="000074A3" w:rsidP="000108A0">
                    <w:pPr>
                      <w:spacing w:before="120"/>
                      <w:jc w:val="right"/>
                    </w:pPr>
                    <w:r>
                      <w:t>R</w:t>
                    </w:r>
                    <w:r w:rsidR="002B4A1A">
                      <w:t>isk Management</w:t>
                    </w:r>
                    <w:r>
                      <w:t xml:space="preserve"> C</w:t>
                    </w:r>
                    <w:r w:rsidR="00C47EEE">
                      <w:t>lassification Document Version</w:t>
                    </w:r>
                    <w:r w:rsidR="00C47EEE" w:rsidRPr="00ED2354">
                      <w:t xml:space="preserve"> </w:t>
                    </w:r>
                    <w:r w:rsidR="00450527">
                      <w:t>1</w:t>
                    </w:r>
                    <w:r w:rsidR="00C47EEE">
                      <w:t>.0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624E7330" wp14:editId="49C504B3">
              <wp:simplePos x="0" y="0"/>
              <wp:positionH relativeFrom="column">
                <wp:posOffset>-26035</wp:posOffset>
              </wp:positionH>
              <wp:positionV relativeFrom="paragraph">
                <wp:posOffset>-412750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F017AD" id="Straight Connector 15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32.5pt" to="720.0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"/>
          </w:pict>
        </mc:Fallback>
      </mc:AlternateContent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338B730" wp14:editId="1BE1BA4B">
              <wp:simplePos x="0" y="0"/>
              <wp:positionH relativeFrom="column">
                <wp:posOffset>363220</wp:posOffset>
              </wp:positionH>
              <wp:positionV relativeFrom="paragraph">
                <wp:posOffset>-298450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C04E" w14:textId="77777777"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391271C" w14:textId="77777777"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38B730" id="Text Box 14" o:spid="_x0000_s1029" type="#_x0000_t202" style="position:absolute;margin-left:28.6pt;margin-top:-23.5pt;width:174.3pt;height:3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ord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" filled="f" stroked="f">
              <v:textbox>
                <w:txbxContent>
                  <w:p w14:paraId="094FC04E" w14:textId="77777777"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391271C" w14:textId="77777777"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2713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B509BB5" wp14:editId="6CF49FA6">
          <wp:simplePos x="0" y="0"/>
          <wp:positionH relativeFrom="column">
            <wp:posOffset>41910</wp:posOffset>
          </wp:positionH>
          <wp:positionV relativeFrom="paragraph">
            <wp:posOffset>-294005</wp:posOffset>
          </wp:positionV>
          <wp:extent cx="268605" cy="402590"/>
          <wp:effectExtent l="0" t="0" r="0" b="0"/>
          <wp:wrapSquare wrapText="bothSides"/>
          <wp:docPr id="237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5F37B" w14:textId="77777777" w:rsidR="00D27F19" w:rsidRDefault="00D27F19" w:rsidP="000108A0">
      <w:r>
        <w:separator/>
      </w:r>
    </w:p>
  </w:footnote>
  <w:footnote w:type="continuationSeparator" w:id="0">
    <w:p w14:paraId="2F18865C" w14:textId="77777777" w:rsidR="00D27F19" w:rsidRDefault="00D27F19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07864" w14:textId="77777777" w:rsidR="002B4A1A" w:rsidRDefault="002B4A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D78C" w14:textId="3948B357" w:rsidR="00C47EEE" w:rsidRDefault="00187DC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7F028A23" wp14:editId="66655475">
          <wp:simplePos x="0" y="0"/>
          <wp:positionH relativeFrom="column">
            <wp:posOffset>18415</wp:posOffset>
          </wp:positionH>
          <wp:positionV relativeFrom="paragraph">
            <wp:posOffset>-505460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2" name="Picture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7714C801" wp14:editId="417C1D26">
              <wp:simplePos x="0" y="0"/>
              <wp:positionH relativeFrom="column">
                <wp:posOffset>-45720</wp:posOffset>
              </wp:positionH>
              <wp:positionV relativeFrom="paragraph">
                <wp:posOffset>144145</wp:posOffset>
              </wp:positionV>
              <wp:extent cx="9170670" cy="0"/>
              <wp:effectExtent l="0" t="0" r="30480" b="1905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870643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6pt,11.35pt" to="718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2A015BF" wp14:editId="3A286E9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3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B77A1" w14:textId="46084F97" w:rsidR="00C47EEE" w:rsidRDefault="00FA691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64A6DE4" wp14:editId="3FFA98E5">
          <wp:simplePos x="0" y="0"/>
          <wp:positionH relativeFrom="margin">
            <wp:posOffset>6149975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36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7DCA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7E1873" wp14:editId="33218D3F">
              <wp:simplePos x="0" y="0"/>
              <wp:positionH relativeFrom="column">
                <wp:posOffset>-10160</wp:posOffset>
              </wp:positionH>
              <wp:positionV relativeFrom="paragraph">
                <wp:posOffset>134620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AF6D6" id="Straight Connector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10.6pt" to="721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CrZVrr3QAAAAkBAAAPAAAAAAAAAAAAAAAAAHcEAABkcnMvZG93bnJldi54bWxQ&#10;SwUGAAAAAAQABADzAAAAgQUAAAAA&#10;"/>
          </w:pict>
        </mc:Fallback>
      </mc:AlternateContent>
    </w:r>
    <w:r w:rsidR="00FF7F09"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D542B6A" wp14:editId="47E2399C">
          <wp:simplePos x="0" y="0"/>
          <wp:positionH relativeFrom="column">
            <wp:posOffset>18415</wp:posOffset>
          </wp:positionH>
          <wp:positionV relativeFrom="paragraph">
            <wp:posOffset>-486410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3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DAB54" w14:textId="49582700" w:rsidR="00C47EEE" w:rsidRDefault="00FA691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C4FA19E" wp14:editId="74953E83">
          <wp:simplePos x="0" y="0"/>
          <wp:positionH relativeFrom="margin">
            <wp:posOffset>5997575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6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713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A61720" wp14:editId="4B30CB73">
              <wp:simplePos x="0" y="0"/>
              <wp:positionH relativeFrom="margin">
                <wp:posOffset>-9525</wp:posOffset>
              </wp:positionH>
              <wp:positionV relativeFrom="paragraph">
                <wp:posOffset>434340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DEC8D" id="Straight Connector 1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75pt,34.2pt" to="711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" strokecolor="black [3213]">
              <w10:wrap anchorx="margin"/>
            </v:line>
          </w:pict>
        </mc:Fallback>
      </mc:AlternateContent>
    </w:r>
    <w:r w:rsidR="00A656F6"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0EB71F28" wp14:editId="55DCFA20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6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3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457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4A3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0FD5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6751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5E5B"/>
    <w:rsid w:val="000A68ED"/>
    <w:rsid w:val="000A7427"/>
    <w:rsid w:val="000B2DE9"/>
    <w:rsid w:val="000B3E6D"/>
    <w:rsid w:val="000B71AD"/>
    <w:rsid w:val="000C45D0"/>
    <w:rsid w:val="000C4E22"/>
    <w:rsid w:val="000C7E79"/>
    <w:rsid w:val="000D2DA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5E0C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87DCA"/>
    <w:rsid w:val="00190ABF"/>
    <w:rsid w:val="00193E8E"/>
    <w:rsid w:val="0019750A"/>
    <w:rsid w:val="001A0846"/>
    <w:rsid w:val="001A1CE1"/>
    <w:rsid w:val="001B1BB8"/>
    <w:rsid w:val="001B79D2"/>
    <w:rsid w:val="001C3CC1"/>
    <w:rsid w:val="001C4FAF"/>
    <w:rsid w:val="001C56DE"/>
    <w:rsid w:val="001D16EF"/>
    <w:rsid w:val="001D2543"/>
    <w:rsid w:val="001D272D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4A4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4A1A"/>
    <w:rsid w:val="002B5326"/>
    <w:rsid w:val="002B7A03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77"/>
    <w:rsid w:val="0047498B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45C"/>
    <w:rsid w:val="004D7B0D"/>
    <w:rsid w:val="004E2C8F"/>
    <w:rsid w:val="004E37A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4621"/>
    <w:rsid w:val="005B7C53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2F16"/>
    <w:rsid w:val="00684B92"/>
    <w:rsid w:val="006853CC"/>
    <w:rsid w:val="00685524"/>
    <w:rsid w:val="006856A3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70A"/>
    <w:rsid w:val="007F7768"/>
    <w:rsid w:val="00801D89"/>
    <w:rsid w:val="00801EEC"/>
    <w:rsid w:val="00802F67"/>
    <w:rsid w:val="00803354"/>
    <w:rsid w:val="00804CF5"/>
    <w:rsid w:val="00805F47"/>
    <w:rsid w:val="008070E8"/>
    <w:rsid w:val="00812405"/>
    <w:rsid w:val="00816364"/>
    <w:rsid w:val="00821C02"/>
    <w:rsid w:val="0082277D"/>
    <w:rsid w:val="00823679"/>
    <w:rsid w:val="0082592D"/>
    <w:rsid w:val="00827106"/>
    <w:rsid w:val="0083274A"/>
    <w:rsid w:val="0083279D"/>
    <w:rsid w:val="008360C8"/>
    <w:rsid w:val="0083688D"/>
    <w:rsid w:val="00840BED"/>
    <w:rsid w:val="0084525B"/>
    <w:rsid w:val="0084679E"/>
    <w:rsid w:val="00846C93"/>
    <w:rsid w:val="008510BD"/>
    <w:rsid w:val="00852673"/>
    <w:rsid w:val="00853FC8"/>
    <w:rsid w:val="00864C2A"/>
    <w:rsid w:val="00864E5B"/>
    <w:rsid w:val="0086635C"/>
    <w:rsid w:val="00870274"/>
    <w:rsid w:val="0087035D"/>
    <w:rsid w:val="00872132"/>
    <w:rsid w:val="00872ADF"/>
    <w:rsid w:val="00875490"/>
    <w:rsid w:val="008755AF"/>
    <w:rsid w:val="0087737E"/>
    <w:rsid w:val="00881088"/>
    <w:rsid w:val="00881DA1"/>
    <w:rsid w:val="00882A26"/>
    <w:rsid w:val="00882A55"/>
    <w:rsid w:val="008A50DD"/>
    <w:rsid w:val="008A6FF3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71E6"/>
    <w:rsid w:val="008E720E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02C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2713D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2D7"/>
    <w:rsid w:val="00D0342D"/>
    <w:rsid w:val="00D059CB"/>
    <w:rsid w:val="00D06690"/>
    <w:rsid w:val="00D1224D"/>
    <w:rsid w:val="00D14074"/>
    <w:rsid w:val="00D21E6F"/>
    <w:rsid w:val="00D25B09"/>
    <w:rsid w:val="00D27320"/>
    <w:rsid w:val="00D27F19"/>
    <w:rsid w:val="00D318F3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1499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0D32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049C"/>
    <w:rsid w:val="00F3279C"/>
    <w:rsid w:val="00F329F7"/>
    <w:rsid w:val="00F33056"/>
    <w:rsid w:val="00F420BE"/>
    <w:rsid w:val="00F4225C"/>
    <w:rsid w:val="00F42B06"/>
    <w:rsid w:val="00F43187"/>
    <w:rsid w:val="00F43FB4"/>
    <w:rsid w:val="00F4687B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6915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  <w:rsid w:val="00FE34D6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|"/>
  <w14:docId w14:val="44E056C0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1D272D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0ff0205-9775-4d11-817e-13aacec916c5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03E049-2942-4E44-AFF6-FD855F9F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SDMaster</cp:lastModifiedBy>
  <cp:revision>15</cp:revision>
  <cp:lastPrinted>2019-03-04T13:32:00Z</cp:lastPrinted>
  <dcterms:created xsi:type="dcterms:W3CDTF">2019-02-27T12:56:00Z</dcterms:created>
  <dcterms:modified xsi:type="dcterms:W3CDTF">2019-03-05T09:18:00Z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