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78512FB3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Revision</w:t>
      </w:r>
      <w:proofErr w:type="spellEnd"/>
      <w:r w:rsidRPr="00056751">
        <w:rPr>
          <w:rFonts w:cs="Tahoma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history</w:t>
      </w:r>
      <w:proofErr w:type="spellEnd"/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AF4C6C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05EC7" w14:textId="77777777" w:rsidR="00872ADF" w:rsidRPr="00B72839" w:rsidRDefault="00872ADF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0B9B5" w14:textId="763FB7A7" w:rsidR="00872ADF" w:rsidRPr="00B72839" w:rsidRDefault="002B4A1A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1E2F" w14:textId="249B8762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FCB37" w14:textId="77777777" w:rsidR="00872ADF" w:rsidRPr="00AF4C6C" w:rsidRDefault="00872ADF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AF4C6C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3C42A" w14:textId="77777777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  <w:tr w:rsidR="002239B5" w:rsidRPr="00B72839" w14:paraId="48E8AAEB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1EAE1" w14:textId="20F1E785" w:rsidR="002239B5" w:rsidRPr="00B72839" w:rsidRDefault="002239B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C7381" w14:textId="11C3566E" w:rsidR="002239B5" w:rsidRDefault="00973FAD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22</w:t>
            </w:r>
            <w:r w:rsidR="002239B5">
              <w:rPr>
                <w:rFonts w:cs="Tahoma"/>
                <w:i w:val="0"/>
                <w:iCs w:val="0"/>
              </w:rPr>
              <w:t xml:space="preserve"> March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81DCB" w14:textId="57888C57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BBDF4" w14:textId="70B95E36" w:rsidR="002239B5" w:rsidRPr="001C6B85" w:rsidRDefault="001C6B85" w:rsidP="00AF4C6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</w:t>
            </w:r>
            <w:r w:rsidRPr="001C6B85">
              <w:rPr>
                <w:rFonts w:cs="Tahoma"/>
                <w:color w:val="000000" w:themeColor="text1"/>
              </w:rPr>
              <w:t xml:space="preserve">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0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0</w:t>
            </w:r>
            <w:r w:rsidRPr="001C6B85">
              <w:rPr>
                <w:rFonts w:cs="Tahoma"/>
                <w:color w:val="000000" w:themeColor="text1"/>
              </w:rPr>
              <w:t xml:space="preserve"> to version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0000FF"/>
              </w:rPr>
              <w:t>blue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B2FEE1" w14:textId="488A1865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C6B85" w:rsidRPr="00B72839" w14:paraId="5D946A02" w14:textId="77777777" w:rsidTr="00B64A4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38EE0" w14:textId="79A8DC14" w:rsidR="001C6B85" w:rsidRDefault="001C6B8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D075C" w14:textId="7655CC30" w:rsidR="001C6B85" w:rsidRDefault="00B83882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AF4C6C">
              <w:rPr>
                <w:rFonts w:cs="Tahoma"/>
                <w:i w:val="0"/>
                <w:iCs w:val="0"/>
                <w:color w:val="000000" w:themeColor="text1"/>
              </w:rPr>
              <w:t xml:space="preserve"> August</w:t>
            </w:r>
            <w:r w:rsidR="001C6B85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0220D" w14:textId="3C6ED32E" w:rsidR="001C6B85" w:rsidRPr="00E62928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 xml:space="preserve">1 </w:t>
            </w:r>
            <w:r w:rsidR="00AF4C6C">
              <w:rPr>
                <w:rFonts w:cs="Tahoma"/>
                <w:color w:val="000000" w:themeColor="text1"/>
              </w:rPr>
              <w:t>September</w:t>
            </w:r>
            <w:r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70717" w14:textId="6D80E2F8" w:rsidR="001C6B85" w:rsidRDefault="001C6B85" w:rsidP="00AF4C6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</w:t>
            </w:r>
            <w:r w:rsidRPr="001C6B85">
              <w:rPr>
                <w:rFonts w:cs="Tahoma"/>
                <w:color w:val="000000" w:themeColor="text1"/>
              </w:rPr>
              <w:t xml:space="preserve"> 1.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to version 1.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FF0000"/>
              </w:rPr>
              <w:t>red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7EA4C" w14:textId="1FA70590" w:rsidR="001C6B85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B64A46" w:rsidRPr="00B72839" w14:paraId="60403BBC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A4269D8" w14:textId="1B407EF4" w:rsidR="00B64A46" w:rsidRDefault="00B64A46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0E343D6" w14:textId="33F8913C" w:rsidR="00B64A46" w:rsidRDefault="007F2E1B" w:rsidP="00684762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12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684762">
              <w:rPr>
                <w:rFonts w:cs="Tahoma"/>
                <w:i w:val="0"/>
                <w:iCs w:val="0"/>
                <w:color w:val="000000" w:themeColor="text1"/>
              </w:rPr>
              <w:t>September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9AE1D57" w14:textId="07EE2503" w:rsidR="00B64A46" w:rsidRDefault="00B64A46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January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7A88014" w14:textId="4BCD35C2" w:rsidR="00B64A46" w:rsidRPr="001C6B85" w:rsidRDefault="00B64A46" w:rsidP="003C22E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</w:t>
            </w:r>
            <w:r w:rsidRPr="001C6B85">
              <w:rPr>
                <w:rFonts w:cs="Tahoma"/>
                <w:color w:val="000000" w:themeColor="text1"/>
              </w:rPr>
              <w:t xml:space="preserve"> 1.</w:t>
            </w:r>
            <w:r>
              <w:rPr>
                <w:rFonts w:cs="Tahoma"/>
                <w:color w:val="000000" w:themeColor="text1"/>
              </w:rPr>
              <w:t>3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 xml:space="preserve"> to version 1.</w:t>
            </w:r>
            <w:r>
              <w:rPr>
                <w:rFonts w:cs="Tahoma"/>
                <w:color w:val="000000" w:themeColor="text1"/>
              </w:rPr>
              <w:t>3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B64A46">
              <w:rPr>
                <w:rFonts w:cs="Tahoma"/>
                <w:color w:val="00B050"/>
              </w:rPr>
              <w:t>green font</w:t>
            </w:r>
            <w:r>
              <w:rPr>
                <w:rFonts w:cs="Tahoma"/>
                <w:color w:val="000000" w:themeColor="text1"/>
              </w:rPr>
              <w:t>.</w:t>
            </w:r>
            <w:r w:rsidR="003C22E2">
              <w:rPr>
                <w:rFonts w:cs="Tahoma"/>
                <w:color w:val="000000" w:themeColor="text1"/>
              </w:rPr>
              <w:br/>
            </w:r>
            <w:r w:rsidR="003C22E2">
              <w:rPr>
                <w:rFonts w:cs="Tahoma"/>
                <w:color w:val="000000" w:themeColor="text1"/>
              </w:rPr>
              <w:br/>
            </w:r>
            <w:r w:rsidR="003C22E2" w:rsidRPr="003C22E2">
              <w:rPr>
                <w:rFonts w:cs="Tahoma"/>
                <w:color w:val="000000" w:themeColor="text1"/>
              </w:rPr>
              <w:t xml:space="preserve">This document, “Risk Management </w:t>
            </w:r>
            <w:r w:rsidR="003C22E2">
              <w:rPr>
                <w:rFonts w:cs="Tahoma"/>
                <w:color w:val="000000" w:themeColor="text1"/>
                <w:lang w:bidi="th-TH"/>
              </w:rPr>
              <w:t>Classification Document</w:t>
            </w:r>
            <w:r w:rsidR="003C22E2">
              <w:rPr>
                <w:rFonts w:cs="Tahoma"/>
                <w:color w:val="000000" w:themeColor="text1"/>
              </w:rPr>
              <w:t xml:space="preserve"> version 1.3</w:t>
            </w:r>
            <w:r w:rsidR="003C22E2" w:rsidRPr="003C22E2">
              <w:rPr>
                <w:rFonts w:cs="Tahoma"/>
                <w:color w:val="000000" w:themeColor="text1"/>
              </w:rPr>
              <w:t xml:space="preserve">”, is designed to be used with “Risk Management Data Set </w:t>
            </w:r>
            <w:r w:rsidR="003C22E2">
              <w:rPr>
                <w:rFonts w:cs="Tahoma"/>
                <w:color w:val="000000" w:themeColor="text1"/>
              </w:rPr>
              <w:t>Document</w:t>
            </w:r>
            <w:r w:rsidR="003C22E2" w:rsidRPr="003C22E2">
              <w:rPr>
                <w:rFonts w:cs="Tahoma"/>
                <w:color w:val="000000" w:themeColor="text1"/>
              </w:rPr>
              <w:t xml:space="preserve"> version 1.4” and “Risk Management </w:t>
            </w:r>
            <w:r w:rsidR="003C22E2">
              <w:rPr>
                <w:rFonts w:cs="Tahoma"/>
                <w:color w:val="000000" w:themeColor="text1"/>
              </w:rPr>
              <w:t>D</w:t>
            </w:r>
            <w:r w:rsidR="00FB2649">
              <w:rPr>
                <w:rFonts w:cs="Tahoma"/>
                <w:color w:val="000000" w:themeColor="text1"/>
              </w:rPr>
              <w:t>ata Set Manual</w:t>
            </w:r>
            <w:r w:rsidR="003C22E2">
              <w:rPr>
                <w:rFonts w:cs="Tahoma"/>
                <w:color w:val="000000" w:themeColor="text1"/>
              </w:rPr>
              <w:t xml:space="preserve"> version 1.4</w:t>
            </w:r>
            <w:r w:rsidR="003C22E2" w:rsidRPr="003C22E2">
              <w:rPr>
                <w:rFonts w:cs="Tahoma"/>
                <w:color w:val="000000" w:themeColor="text1"/>
              </w:rPr>
              <w:t>”. In addition, other supporting documents is “DMS Classification version 19.1</w:t>
            </w:r>
            <w:r w:rsidR="000F323E">
              <w:rPr>
                <w:rFonts w:cs="Tahoma"/>
                <w:color w:val="000000" w:themeColor="text1"/>
              </w:rPr>
              <w:t>”</w:t>
            </w:r>
            <w:bookmarkStart w:id="0" w:name="_GoBack"/>
            <w:bookmarkEnd w:id="0"/>
            <w:r w:rsidR="003C22E2" w:rsidRPr="003C22E2"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6464134" w14:textId="376CDBA0" w:rsidR="00B64A46" w:rsidRDefault="0006338C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08952F56" w14:textId="77777777" w:rsidR="0075091F" w:rsidRPr="0075091F" w:rsidRDefault="0075091F" w:rsidP="0075091F">
      <w:pPr>
        <w:rPr>
          <w:lang w:eastAsia="x-none" w:bidi="ar-SA"/>
        </w:rPr>
      </w:pPr>
    </w:p>
    <w:p w14:paraId="5E45B0C2" w14:textId="77777777" w:rsidR="0075091F" w:rsidRPr="0075091F" w:rsidRDefault="0075091F" w:rsidP="0075091F">
      <w:pPr>
        <w:rPr>
          <w:lang w:eastAsia="x-none" w:bidi="ar-SA"/>
        </w:rPr>
      </w:pPr>
    </w:p>
    <w:p w14:paraId="329AFD5C" w14:textId="77777777" w:rsidR="0075091F" w:rsidRPr="0075091F" w:rsidRDefault="0075091F" w:rsidP="0075091F">
      <w:pPr>
        <w:rPr>
          <w:lang w:eastAsia="x-none" w:bidi="ar-SA"/>
        </w:rPr>
      </w:pPr>
    </w:p>
    <w:p w14:paraId="751F854B" w14:textId="77777777"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187DCA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6726B189" w14:textId="77777777" w:rsidR="00FC3EB5" w:rsidRPr="00FC3EB5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7464903" w:history="1">
            <w:r w:rsidR="00FC3EB5" w:rsidRPr="00FC3EB5">
              <w:rPr>
                <w:rStyle w:val="Hyperlink"/>
                <w:color w:val="FF0000"/>
              </w:rPr>
              <w:t>1.</w:t>
            </w:r>
            <w:r w:rsidR="00FC3EB5" w:rsidRP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FC3EB5" w:rsidRPr="00FC3EB5">
              <w:rPr>
                <w:rStyle w:val="Hyperlink"/>
                <w:color w:val="FF0000"/>
              </w:rPr>
              <w:t>Condition</w:t>
            </w:r>
            <w:r w:rsidR="00FC3EB5" w:rsidRPr="00FC3EB5">
              <w:rPr>
                <w:webHidden/>
                <w:color w:val="FF0000"/>
              </w:rPr>
              <w:tab/>
            </w:r>
            <w:r w:rsidR="00FC3EB5" w:rsidRPr="00FC3EB5">
              <w:rPr>
                <w:rStyle w:val="Hyperlink"/>
                <w:color w:val="FF0000"/>
              </w:rPr>
              <w:fldChar w:fldCharType="begin"/>
            </w:r>
            <w:r w:rsidR="00FC3EB5" w:rsidRPr="00FC3EB5">
              <w:rPr>
                <w:webHidden/>
                <w:color w:val="FF0000"/>
              </w:rPr>
              <w:instrText xml:space="preserve"> PAGEREF _Toc17464903 \h </w:instrText>
            </w:r>
            <w:r w:rsidR="00FC3EB5" w:rsidRPr="00FC3EB5">
              <w:rPr>
                <w:rStyle w:val="Hyperlink"/>
                <w:color w:val="FF0000"/>
              </w:rPr>
            </w:r>
            <w:r w:rsidR="00FC3EB5" w:rsidRPr="00FC3EB5">
              <w:rPr>
                <w:rStyle w:val="Hyperlink"/>
                <w:color w:val="FF0000"/>
              </w:rPr>
              <w:fldChar w:fldCharType="separate"/>
            </w:r>
            <w:r w:rsidR="00FC3EB5" w:rsidRPr="00FC3EB5">
              <w:rPr>
                <w:webHidden/>
                <w:color w:val="FF0000"/>
              </w:rPr>
              <w:t>4</w:t>
            </w:r>
            <w:r w:rsidR="00FC3EB5" w:rsidRPr="00FC3EB5">
              <w:rPr>
                <w:rStyle w:val="Hyperlink"/>
                <w:color w:val="FF0000"/>
              </w:rPr>
              <w:fldChar w:fldCharType="end"/>
            </w:r>
          </w:hyperlink>
        </w:p>
        <w:p w14:paraId="5275B174" w14:textId="3DFD11E2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04" w:history="1">
            <w:r w:rsidR="00FC3EB5" w:rsidRPr="00340E08">
              <w:rPr>
                <w:rStyle w:val="Hyperlink"/>
              </w:rPr>
              <w:t>2.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CVA Counterparty Type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_Toc17464904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5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0825A36F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05" w:history="1">
            <w:r w:rsidR="00FC3EB5" w:rsidRPr="00340E08">
              <w:rPr>
                <w:rStyle w:val="Hyperlink"/>
              </w:rPr>
              <w:t>3.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Greek Type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_Toc17464905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6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26FB8935" w14:textId="77777777" w:rsidR="00FC3EB5" w:rsidRP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06" w:history="1">
            <w:r w:rsidR="00FC3EB5" w:rsidRPr="00FC3EB5">
              <w:rPr>
                <w:rStyle w:val="Hyperlink"/>
                <w:color w:val="auto"/>
              </w:rPr>
              <w:t>4.</w:t>
            </w:r>
            <w:r w:rsidR="00FC3EB5" w:rsidRP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FC3EB5">
              <w:rPr>
                <w:rStyle w:val="Hyperlink"/>
                <w:color w:val="auto"/>
              </w:rPr>
              <w:t>Indicator</w:t>
            </w:r>
            <w:r w:rsidR="00FC3EB5" w:rsidRPr="00FC3EB5">
              <w:rPr>
                <w:webHidden/>
                <w:color w:val="auto"/>
              </w:rPr>
              <w:tab/>
            </w:r>
            <w:r w:rsidR="00FC3EB5" w:rsidRPr="00FC3EB5">
              <w:rPr>
                <w:rStyle w:val="Hyperlink"/>
                <w:color w:val="auto"/>
              </w:rPr>
              <w:fldChar w:fldCharType="begin"/>
            </w:r>
            <w:r w:rsidR="00FC3EB5" w:rsidRPr="00FC3EB5">
              <w:rPr>
                <w:webHidden/>
                <w:color w:val="auto"/>
              </w:rPr>
              <w:instrText xml:space="preserve"> PAGEREF _Toc17464906 \h </w:instrText>
            </w:r>
            <w:r w:rsidR="00FC3EB5" w:rsidRPr="00FC3EB5">
              <w:rPr>
                <w:rStyle w:val="Hyperlink"/>
                <w:color w:val="auto"/>
              </w:rPr>
            </w:r>
            <w:r w:rsidR="00FC3EB5" w:rsidRPr="00FC3EB5">
              <w:rPr>
                <w:rStyle w:val="Hyperlink"/>
                <w:color w:val="auto"/>
              </w:rPr>
              <w:fldChar w:fldCharType="separate"/>
            </w:r>
            <w:r w:rsidR="00FC3EB5" w:rsidRPr="00FC3EB5">
              <w:rPr>
                <w:webHidden/>
                <w:color w:val="auto"/>
              </w:rPr>
              <w:t>7</w:t>
            </w:r>
            <w:r w:rsidR="00FC3EB5" w:rsidRPr="00FC3EB5">
              <w:rPr>
                <w:rStyle w:val="Hyperlink"/>
                <w:color w:val="auto"/>
              </w:rPr>
              <w:fldChar w:fldCharType="end"/>
            </w:r>
          </w:hyperlink>
        </w:p>
        <w:p w14:paraId="1ACB6C5B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07" w:history="1">
            <w:r w:rsidR="00FC3EB5" w:rsidRPr="00340E08">
              <w:rPr>
                <w:rStyle w:val="Hyperlink"/>
              </w:rPr>
              <w:t>5.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IR Curve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_Toc17464907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8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09089815" w14:textId="77777777" w:rsidR="00FC3EB5" w:rsidRP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hyperlink w:anchor="_Toc17464908" w:history="1">
            <w:r w:rsidR="00FC3EB5" w:rsidRPr="00FC3EB5">
              <w:rPr>
                <w:rStyle w:val="Hyperlink"/>
                <w:color w:val="FF0000"/>
              </w:rPr>
              <w:t>6.</w:t>
            </w:r>
            <w:r w:rsidR="00FC3EB5" w:rsidRP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FC3EB5" w:rsidRPr="00FC3EB5">
              <w:rPr>
                <w:rStyle w:val="Hyperlink"/>
                <w:color w:val="FF0000"/>
              </w:rPr>
              <w:t>Market Risk Factor Type</w:t>
            </w:r>
            <w:r w:rsidR="00FC3EB5" w:rsidRPr="00FC3EB5">
              <w:rPr>
                <w:webHidden/>
                <w:color w:val="FF0000"/>
              </w:rPr>
              <w:tab/>
            </w:r>
            <w:r w:rsidR="00FC3EB5" w:rsidRPr="00FC3EB5">
              <w:rPr>
                <w:rStyle w:val="Hyperlink"/>
                <w:color w:val="FF0000"/>
              </w:rPr>
              <w:fldChar w:fldCharType="begin"/>
            </w:r>
            <w:r w:rsidR="00FC3EB5" w:rsidRPr="00FC3EB5">
              <w:rPr>
                <w:webHidden/>
                <w:color w:val="FF0000"/>
              </w:rPr>
              <w:instrText xml:space="preserve"> PAGEREF _Toc17464908 \h </w:instrText>
            </w:r>
            <w:r w:rsidR="00FC3EB5" w:rsidRPr="00FC3EB5">
              <w:rPr>
                <w:rStyle w:val="Hyperlink"/>
                <w:color w:val="FF0000"/>
              </w:rPr>
            </w:r>
            <w:r w:rsidR="00FC3EB5" w:rsidRPr="00FC3EB5">
              <w:rPr>
                <w:rStyle w:val="Hyperlink"/>
                <w:color w:val="FF0000"/>
              </w:rPr>
              <w:fldChar w:fldCharType="separate"/>
            </w:r>
            <w:r w:rsidR="00FC3EB5" w:rsidRPr="00FC3EB5">
              <w:rPr>
                <w:webHidden/>
                <w:color w:val="FF0000"/>
              </w:rPr>
              <w:t>9</w:t>
            </w:r>
            <w:r w:rsidR="00FC3EB5" w:rsidRPr="00FC3EB5">
              <w:rPr>
                <w:rStyle w:val="Hyperlink"/>
                <w:color w:val="FF0000"/>
              </w:rPr>
              <w:fldChar w:fldCharType="end"/>
            </w:r>
          </w:hyperlink>
        </w:p>
        <w:p w14:paraId="29BF19DF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09" w:history="1">
            <w:r w:rsidR="00FC3EB5" w:rsidRPr="00340E08">
              <w:rPr>
                <w:rStyle w:val="Hyperlink"/>
              </w:rPr>
              <w:t>7.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Risk Value Type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_Toc17464909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10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23505B5A" w14:textId="77777777" w:rsidR="00FC3EB5" w:rsidRP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hyperlink w:anchor="_Toc17464910" w:history="1">
            <w:r w:rsidR="00FC3EB5" w:rsidRPr="00FC3EB5">
              <w:rPr>
                <w:rStyle w:val="Hyperlink"/>
                <w:color w:val="FF0000"/>
              </w:rPr>
              <w:t>8.</w:t>
            </w:r>
            <w:r w:rsidR="00FC3EB5" w:rsidRP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FC3EB5" w:rsidRPr="00FC3EB5">
              <w:rPr>
                <w:rStyle w:val="Hyperlink"/>
                <w:color w:val="FF0000"/>
              </w:rPr>
              <w:t>Comparison operator</w:t>
            </w:r>
            <w:r w:rsidR="00FC3EB5" w:rsidRPr="00FC3EB5">
              <w:rPr>
                <w:webHidden/>
                <w:color w:val="FF0000"/>
              </w:rPr>
              <w:tab/>
            </w:r>
            <w:r w:rsidR="00FC3EB5" w:rsidRPr="00FC3EB5">
              <w:rPr>
                <w:rStyle w:val="Hyperlink"/>
                <w:color w:val="FF0000"/>
              </w:rPr>
              <w:fldChar w:fldCharType="begin"/>
            </w:r>
            <w:r w:rsidR="00FC3EB5" w:rsidRPr="00FC3EB5">
              <w:rPr>
                <w:webHidden/>
                <w:color w:val="FF0000"/>
              </w:rPr>
              <w:instrText xml:space="preserve"> PAGEREF _Toc17464910 \h </w:instrText>
            </w:r>
            <w:r w:rsidR="00FC3EB5" w:rsidRPr="00FC3EB5">
              <w:rPr>
                <w:rStyle w:val="Hyperlink"/>
                <w:color w:val="FF0000"/>
              </w:rPr>
            </w:r>
            <w:r w:rsidR="00FC3EB5" w:rsidRPr="00FC3EB5">
              <w:rPr>
                <w:rStyle w:val="Hyperlink"/>
                <w:color w:val="FF0000"/>
              </w:rPr>
              <w:fldChar w:fldCharType="separate"/>
            </w:r>
            <w:r w:rsidR="00FC3EB5" w:rsidRPr="00FC3EB5">
              <w:rPr>
                <w:webHidden/>
                <w:color w:val="FF0000"/>
              </w:rPr>
              <w:t>11</w:t>
            </w:r>
            <w:r w:rsidR="00FC3EB5" w:rsidRPr="00FC3EB5">
              <w:rPr>
                <w:rStyle w:val="Hyperlink"/>
                <w:color w:val="FF0000"/>
              </w:rPr>
              <w:fldChar w:fldCharType="end"/>
            </w:r>
          </w:hyperlink>
        </w:p>
        <w:p w14:paraId="5CCD4F47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11" w:history="1">
            <w:r w:rsidR="00FC3EB5" w:rsidRPr="00340E08">
              <w:rPr>
                <w:rStyle w:val="Hyperlink"/>
              </w:rPr>
              <w:t>9.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Target Type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_Toc17464911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12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4B6750DA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12" w:history="1">
            <w:r w:rsidR="00FC3EB5" w:rsidRPr="00340E08">
              <w:rPr>
                <w:rStyle w:val="Hyperlink"/>
              </w:rPr>
              <w:t>10.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VaR Approach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_Toc17464912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14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559590EA" w14:textId="77777777" w:rsid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13" w:history="1">
            <w:r w:rsidR="00FC3EB5" w:rsidRPr="00340E08">
              <w:rPr>
                <w:rStyle w:val="Hyperlink"/>
              </w:rPr>
              <w:t>11.</w:t>
            </w:r>
            <w:r w:rsidR="00FC3EB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FC3EB5" w:rsidRPr="00340E08">
              <w:rPr>
                <w:rStyle w:val="Hyperlink"/>
              </w:rPr>
              <w:t>VaR Type</w:t>
            </w:r>
            <w:r w:rsidR="00FC3EB5">
              <w:rPr>
                <w:webHidden/>
              </w:rPr>
              <w:tab/>
            </w:r>
            <w:r w:rsidR="00FC3EB5">
              <w:rPr>
                <w:rStyle w:val="Hyperlink"/>
              </w:rPr>
              <w:fldChar w:fldCharType="begin"/>
            </w:r>
            <w:r w:rsidR="00FC3EB5">
              <w:rPr>
                <w:webHidden/>
              </w:rPr>
              <w:instrText xml:space="preserve"> PAGEREF _Toc17464913 \h </w:instrText>
            </w:r>
            <w:r w:rsidR="00FC3EB5">
              <w:rPr>
                <w:rStyle w:val="Hyperlink"/>
              </w:rPr>
            </w:r>
            <w:r w:rsidR="00FC3EB5">
              <w:rPr>
                <w:rStyle w:val="Hyperlink"/>
              </w:rPr>
              <w:fldChar w:fldCharType="separate"/>
            </w:r>
            <w:r w:rsidR="00FC3EB5">
              <w:rPr>
                <w:webHidden/>
              </w:rPr>
              <w:t>15</w:t>
            </w:r>
            <w:r w:rsidR="00FC3EB5">
              <w:rPr>
                <w:rStyle w:val="Hyperlink"/>
              </w:rPr>
              <w:fldChar w:fldCharType="end"/>
            </w:r>
          </w:hyperlink>
        </w:p>
        <w:p w14:paraId="65E5330D" w14:textId="77777777" w:rsidR="00FC3EB5" w:rsidRPr="00FC3EB5" w:rsidRDefault="000F32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464914" w:history="1">
            <w:r w:rsidR="00FC3EB5" w:rsidRPr="00B472C5">
              <w:rPr>
                <w:rStyle w:val="Hyperlink"/>
                <w:color w:val="00B050"/>
              </w:rPr>
              <w:t>12.</w:t>
            </w:r>
            <w:r w:rsidR="00FC3EB5" w:rsidRPr="00B472C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00B050"/>
                <w:sz w:val="22"/>
                <w:szCs w:val="28"/>
              </w:rPr>
              <w:tab/>
            </w:r>
            <w:r w:rsidR="00FC3EB5" w:rsidRPr="00B472C5">
              <w:rPr>
                <w:rStyle w:val="Hyperlink"/>
                <w:color w:val="00B050"/>
              </w:rPr>
              <w:t>Profit and Loss Item</w:t>
            </w:r>
            <w:r w:rsidR="00FC3EB5" w:rsidRPr="00B472C5">
              <w:rPr>
                <w:webHidden/>
                <w:color w:val="00B050"/>
              </w:rPr>
              <w:tab/>
            </w:r>
            <w:r w:rsidR="00FC3EB5" w:rsidRPr="00B472C5">
              <w:rPr>
                <w:rStyle w:val="Hyperlink"/>
                <w:color w:val="00B050"/>
              </w:rPr>
              <w:fldChar w:fldCharType="begin"/>
            </w:r>
            <w:r w:rsidR="00FC3EB5" w:rsidRPr="00B472C5">
              <w:rPr>
                <w:webHidden/>
                <w:color w:val="00B050"/>
              </w:rPr>
              <w:instrText xml:space="preserve"> PAGEREF _Toc17464914 \h </w:instrText>
            </w:r>
            <w:r w:rsidR="00FC3EB5" w:rsidRPr="00B472C5">
              <w:rPr>
                <w:rStyle w:val="Hyperlink"/>
                <w:color w:val="00B050"/>
              </w:rPr>
            </w:r>
            <w:r w:rsidR="00FC3EB5" w:rsidRPr="00B472C5">
              <w:rPr>
                <w:rStyle w:val="Hyperlink"/>
                <w:color w:val="00B050"/>
              </w:rPr>
              <w:fldChar w:fldCharType="separate"/>
            </w:r>
            <w:r w:rsidR="00FC3EB5" w:rsidRPr="00B472C5">
              <w:rPr>
                <w:webHidden/>
                <w:color w:val="00B050"/>
              </w:rPr>
              <w:t>16</w:t>
            </w:r>
            <w:r w:rsidR="00FC3EB5" w:rsidRPr="00B472C5">
              <w:rPr>
                <w:rStyle w:val="Hyperlink"/>
                <w:color w:val="00B050"/>
              </w:rPr>
              <w:fldChar w:fldCharType="end"/>
            </w:r>
          </w:hyperlink>
        </w:p>
        <w:p w14:paraId="0A30317C" w14:textId="1B4CBCFA" w:rsidR="00A656F6" w:rsidRPr="001D272D" w:rsidRDefault="000D1106" w:rsidP="000108A0">
          <w:r>
            <w:rPr>
              <w:b/>
              <w:bCs/>
              <w:caps/>
              <w:noProof/>
              <w:color w:val="0000FF"/>
            </w:rPr>
            <w:fldChar w:fldCharType="end"/>
          </w:r>
        </w:p>
      </w:sdtContent>
    </w:sdt>
    <w:p w14:paraId="05A14595" w14:textId="70AA1004" w:rsidR="00056751" w:rsidRDefault="00056751"/>
    <w:p w14:paraId="33F10CD8" w14:textId="77777777" w:rsidR="001D272D" w:rsidRDefault="001D272D">
      <w:pPr>
        <w:rPr>
          <w:cs/>
        </w:rPr>
      </w:pPr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05B74A0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597E35" w14:textId="77777777" w:rsidR="002239B5" w:rsidRPr="001C6B85" w:rsidRDefault="002239B5" w:rsidP="00D03BD6">
            <w:pPr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B9C09" w14:textId="3CD72244" w:rsidR="002239B5" w:rsidRPr="001C6B85" w:rsidRDefault="002239B5" w:rsidP="001C6B85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" w:name="_Toc536175080"/>
            <w:bookmarkStart w:id="2" w:name="_Toc964901"/>
            <w:bookmarkStart w:id="3" w:name="_Toc3224257"/>
            <w:bookmarkStart w:id="4" w:name="_Toc17464903"/>
            <w:r w:rsidRPr="001C6B85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C</w:t>
            </w:r>
            <w:bookmarkEnd w:id="1"/>
            <w:bookmarkEnd w:id="2"/>
            <w:bookmarkEnd w:id="3"/>
            <w:r w:rsidR="001C6B85" w:rsidRPr="001C6B85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ondition</w:t>
            </w:r>
            <w:bookmarkEnd w:id="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ADC495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F95F891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CCB8D0B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76D8F5F" w14:textId="77777777" w:rsidR="002239B5" w:rsidRPr="001C6B8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121E7EF" w14:textId="77777777" w:rsidR="002239B5" w:rsidRPr="001C6B8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t>Description</w:t>
            </w:r>
          </w:p>
        </w:tc>
      </w:tr>
      <w:tr w:rsidR="002239B5" w:rsidRPr="002239B5" w14:paraId="2AECD079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EDB4E" w14:textId="0C3E26A2" w:rsidR="002239B5" w:rsidRPr="00B914CA" w:rsidRDefault="002C1536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>
              <w:rPr>
                <w:rFonts w:cs="Tahoma"/>
                <w:color w:val="FF0000"/>
                <w:lang w:val="en-US" w:eastAsia="en-US"/>
              </w:rPr>
              <w:t>a</w:t>
            </w:r>
            <w:r w:rsidR="001C6B85" w:rsidRPr="00B914CA">
              <w:rPr>
                <w:rFonts w:cs="Tahoma"/>
                <w:color w:val="FF0000"/>
                <w:lang w:val="en-US" w:eastAsia="en-US"/>
              </w:rPr>
              <w:t>nd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600001" w14:textId="5BF646E0" w:rsidR="002239B5" w:rsidRPr="00B914CA" w:rsidRDefault="00B914CA" w:rsidP="00D03BD6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เงื่อนไข “</w:t>
            </w:r>
            <w:r w:rsidRPr="00B914CA">
              <w:rPr>
                <w:rFonts w:hint="cs"/>
                <w:color w:val="FF0000"/>
                <w:cs/>
              </w:rPr>
              <w:t>และ</w:t>
            </w:r>
            <w:r>
              <w:rPr>
                <w:rFonts w:hint="cs"/>
                <w:color w:val="FF0000"/>
                <w:cs/>
              </w:rPr>
              <w:t>”</w:t>
            </w:r>
          </w:p>
        </w:tc>
      </w:tr>
      <w:tr w:rsidR="002239B5" w:rsidRPr="002239B5" w14:paraId="01D16180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A45A696" w14:textId="5035B0E4" w:rsidR="002239B5" w:rsidRPr="00B914CA" w:rsidRDefault="002C1536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>
              <w:rPr>
                <w:rFonts w:cs="Tahoma"/>
                <w:color w:val="FF0000"/>
                <w:lang w:val="en-US" w:eastAsia="en-US"/>
              </w:rPr>
              <w:t>o</w:t>
            </w:r>
            <w:r w:rsidR="001C6B85" w:rsidRPr="00B914CA">
              <w:rPr>
                <w:rFonts w:cs="Tahoma"/>
                <w:color w:val="FF0000"/>
                <w:lang w:val="en-US" w:eastAsia="en-US"/>
              </w:rPr>
              <w:t>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4CB8A" w14:textId="62A40A70" w:rsidR="002239B5" w:rsidRPr="00B914CA" w:rsidRDefault="00B914CA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>
              <w:rPr>
                <w:rFonts w:cs="Tahoma" w:hint="cs"/>
                <w:color w:val="FF0000"/>
                <w:cs/>
                <w:lang w:val="en-US" w:eastAsia="en-US"/>
              </w:rPr>
              <w:t>เงื่อนไข “</w:t>
            </w:r>
            <w:r w:rsidRPr="00B914CA">
              <w:rPr>
                <w:rFonts w:cs="Tahoma" w:hint="cs"/>
                <w:color w:val="FF0000"/>
                <w:cs/>
                <w:lang w:val="en-US" w:eastAsia="en-US"/>
              </w:rPr>
              <w:t>หรือ</w:t>
            </w:r>
            <w:r>
              <w:rPr>
                <w:rFonts w:cs="Tahoma" w:hint="cs"/>
                <w:color w:val="FF0000"/>
                <w:cs/>
                <w:lang w:val="en-US" w:eastAsia="en-US"/>
              </w:rPr>
              <w:t>”</w:t>
            </w:r>
          </w:p>
        </w:tc>
      </w:tr>
    </w:tbl>
    <w:p w14:paraId="7622D7FF" w14:textId="3E88E9EB" w:rsidR="001C6B85" w:rsidRDefault="001C6B85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1C6B85" w:rsidRPr="002239B5" w14:paraId="13327908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09754" w14:textId="77777777" w:rsidR="001C6B85" w:rsidRPr="002239B5" w:rsidRDefault="001C6B8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2A30D4" w14:textId="77777777" w:rsidR="001C6B85" w:rsidRPr="002239B5" w:rsidRDefault="001C6B8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5" w:name="_Toc17464904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CVA Counterparty Type</w:t>
            </w:r>
            <w:bookmarkEnd w:id="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A02183" w14:textId="77777777" w:rsidR="001C6B85" w:rsidRPr="002239B5" w:rsidRDefault="001C6B8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259E49A" w14:textId="77777777" w:rsidR="001C6B85" w:rsidRPr="002239B5" w:rsidRDefault="001C6B85" w:rsidP="001C6B8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1C6B85" w:rsidRPr="002239B5" w14:paraId="64C39D74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DA3A05E" w14:textId="77777777" w:rsidR="001C6B85" w:rsidRPr="002239B5" w:rsidRDefault="001C6B8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94C075F" w14:textId="77777777" w:rsidR="001C6B85" w:rsidRPr="002239B5" w:rsidRDefault="001C6B8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1C6B85" w:rsidRPr="002239B5" w14:paraId="2DBB67D1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7C5218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and Central Banks (SA)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662C3A" w14:textId="77777777" w:rsidR="001C6B85" w:rsidRPr="002239B5" w:rsidRDefault="001C6B85" w:rsidP="00D03BD6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rFonts w:hint="cs"/>
                <w:color w:val="0000FF"/>
                <w:cs/>
              </w:rPr>
              <w:t xml:space="preserve">ลูกหนี้รัฐบาลไทย และธนาคารแห่งประเทศไทย รวมถึง </w:t>
            </w:r>
            <w:r w:rsidRPr="002239B5">
              <w:rPr>
                <w:color w:val="0000FF"/>
              </w:rPr>
              <w:t xml:space="preserve">FIDF, DPA, </w:t>
            </w:r>
            <w:r w:rsidRPr="002239B5">
              <w:rPr>
                <w:rFonts w:hint="cs"/>
                <w:color w:val="0000FF"/>
                <w:cs/>
              </w:rPr>
              <w:t>ลูกหนี้ภาครัฐบาล และธนาคารกลางของต่างประเทศ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0191E202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8A7FFE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Local Government Organizations, State Agencies and State Enterprises (SA)</w:t>
            </w:r>
          </w:p>
        </w:tc>
        <w:tc>
          <w:tcPr>
            <w:tcW w:w="720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5CD631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ลูกหนี้องค์กรปกครองส่วนท้องถิ่น องค์การของรัฐ และรัฐวิสาหกิจ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3D2A105D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980FC9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Multilateral Development Banks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A2808A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ลูกหนี้ธนาคารเพื่อการพัฒนาระหว่างประเทศ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0DD8022D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C29EA6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4CF821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34D930DD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83950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Securities Companies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1B780C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ลูกหนี้บริษัทหลักทรัพย์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73FC8680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345339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696960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ลูกหนี้เอกชน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1434A363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C0DBCE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BD38B1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4F2A2C23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6CD293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D7216D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ลูกหนี้ภาครัฐบาล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27D658FA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EC16E1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F367940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14E95E91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2048A8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904D12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ลูกหนี้ธุรกิจเอกชน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7D795575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DDAEE6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B9FAB" w14:textId="77777777" w:rsidR="001C6B85" w:rsidRPr="002239B5" w:rsidRDefault="001C6B8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</w:tbl>
    <w:p w14:paraId="16460388" w14:textId="77777777" w:rsidR="001C6B85" w:rsidRPr="002239B5" w:rsidRDefault="001C6B85" w:rsidP="001C6B85">
      <w:pPr>
        <w:spacing w:before="240"/>
        <w:rPr>
          <w:rFonts w:eastAsia="Calibri"/>
          <w:color w:val="0000FF"/>
        </w:rPr>
      </w:pPr>
      <w:r w:rsidRPr="002239B5">
        <w:rPr>
          <w:rFonts w:eastAsia="Calibri"/>
          <w:color w:val="0000FF"/>
          <w:cs/>
        </w:rPr>
        <w:t>หมายเหตุ</w:t>
      </w:r>
      <w:r>
        <w:rPr>
          <w:rFonts w:eastAsia="Calibri"/>
          <w:color w:val="0000FF"/>
        </w:rPr>
        <w:t>:</w:t>
      </w:r>
    </w:p>
    <w:p w14:paraId="17022CEF" w14:textId="77777777" w:rsidR="001C6B85" w:rsidRPr="002239B5" w:rsidRDefault="001C6B85" w:rsidP="001C6B85">
      <w:pPr>
        <w:spacing w:before="120"/>
        <w:rPr>
          <w:rFonts w:eastAsia="Calibri"/>
          <w:color w:val="0000FF"/>
          <w:cs/>
        </w:rPr>
      </w:pPr>
      <w:r w:rsidRPr="00801C86">
        <w:rPr>
          <w:rFonts w:eastAsia="Calibri"/>
          <w:color w:val="0000FF"/>
          <w:vertAlign w:val="superscript"/>
        </w:rPr>
        <w:t>1/</w:t>
      </w:r>
      <w:r w:rsidRPr="002239B5">
        <w:rPr>
          <w:rFonts w:eastAsia="Calibri"/>
          <w:color w:val="0000FF"/>
        </w:rPr>
        <w:t xml:space="preserve"> </w:t>
      </w:r>
      <w:r w:rsidRPr="002239B5">
        <w:rPr>
          <w:rFonts w:eastAsia="Calibri" w:hint="cs"/>
          <w:color w:val="0000FF"/>
          <w:cs/>
        </w:rPr>
        <w:t>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proofErr w:type="spellStart"/>
      <w:r w:rsidRPr="002239B5">
        <w:rPr>
          <w:rFonts w:eastAsia="Calibri"/>
          <w:color w:val="0000FF"/>
        </w:rPr>
        <w:t>Standardised</w:t>
      </w:r>
      <w:proofErr w:type="spellEnd"/>
      <w:r w:rsidRPr="002239B5">
        <w:rPr>
          <w:rFonts w:eastAsia="Calibri"/>
          <w:color w:val="0000FF"/>
        </w:rPr>
        <w:t xml:space="preserve">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SA)</w:t>
      </w:r>
    </w:p>
    <w:p w14:paraId="2582ACEC" w14:textId="3066A5CA" w:rsidR="001C6B85" w:rsidRPr="001C6B85" w:rsidRDefault="001C6B85" w:rsidP="001C6B85">
      <w:pPr>
        <w:spacing w:before="120"/>
        <w:rPr>
          <w:rFonts w:eastAsia="Calibri"/>
          <w:color w:val="0000FF"/>
        </w:rPr>
      </w:pPr>
      <w:r w:rsidRPr="00801C86">
        <w:rPr>
          <w:rFonts w:eastAsia="Calibri"/>
          <w:color w:val="0000FF"/>
          <w:vertAlign w:val="superscript"/>
        </w:rPr>
        <w:t>2</w:t>
      </w:r>
      <w:r w:rsidRPr="00801C86">
        <w:rPr>
          <w:rFonts w:eastAsia="Calibri" w:hint="cs"/>
          <w:color w:val="0000FF"/>
          <w:vertAlign w:val="superscript"/>
          <w:cs/>
        </w:rPr>
        <w:t>/</w:t>
      </w:r>
      <w:r w:rsidRPr="002239B5">
        <w:rPr>
          <w:rFonts w:eastAsia="Calibri" w:hint="cs"/>
          <w:color w:val="0000FF"/>
          <w:cs/>
        </w:rPr>
        <w:t xml:space="preserve"> 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2239B5">
        <w:rPr>
          <w:rFonts w:eastAsia="Calibri"/>
          <w:color w:val="0000FF"/>
        </w:rPr>
        <w:t>Internal Ratings-Based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IRB)</w:t>
      </w:r>
    </w:p>
    <w:p w14:paraId="06A8251F" w14:textId="77777777" w:rsidR="002239B5" w:rsidRPr="002239B5" w:rsidRDefault="002239B5">
      <w:pPr>
        <w:rPr>
          <w:color w:val="0000FF"/>
        </w:rPr>
      </w:pPr>
    </w:p>
    <w:p w14:paraId="01880A17" w14:textId="77777777" w:rsidR="001C6B85" w:rsidRDefault="001C6B85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076346" w14:textId="77777777" w:rsidTr="00D03BD6">
        <w:trPr>
          <w:cantSplit/>
          <w:trHeight w:val="26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51D4C9" w14:textId="32D070E7" w:rsidR="002239B5" w:rsidRPr="002239B5" w:rsidRDefault="002239B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D1462" w14:textId="239849EA" w:rsidR="002239B5" w:rsidRPr="002239B5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6" w:name="_Toc536175078"/>
            <w:bookmarkStart w:id="7" w:name="_Toc964899"/>
            <w:bookmarkStart w:id="8" w:name="_Toc3224258"/>
            <w:bookmarkStart w:id="9" w:name="_Toc17464905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Greek Type</w:t>
            </w:r>
            <w:bookmarkEnd w:id="6"/>
            <w:bookmarkEnd w:id="7"/>
            <w:bookmarkEnd w:id="8"/>
            <w:bookmarkEnd w:id="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3ECFD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F786B9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5D1908D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9C3833F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8F0578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3BBDB890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367C3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Delta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D064F4" w14:textId="77777777" w:rsidR="002239B5" w:rsidRPr="002239B5" w:rsidRDefault="002239B5" w:rsidP="00D03BD6">
            <w:pPr>
              <w:spacing w:before="120" w:line="360" w:lineRule="auto"/>
              <w:rPr>
                <w:color w:val="0000FF"/>
                <w:cs/>
              </w:rPr>
            </w:pPr>
            <w:r w:rsidRPr="002239B5">
              <w:rPr>
                <w:rFonts w:hint="cs"/>
                <w:color w:val="0000FF"/>
                <w:cs/>
              </w:rPr>
              <w:t xml:space="preserve">มูลค่าธุรกรรมในบัญชีเพื่อค้าทั้ง </w:t>
            </w:r>
            <w:r w:rsidRPr="002239B5">
              <w:rPr>
                <w:color w:val="0000FF"/>
              </w:rPr>
              <w:t xml:space="preserve">Derivative </w:t>
            </w:r>
            <w:r w:rsidRPr="002239B5">
              <w:rPr>
                <w:rFonts w:hint="cs"/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 xml:space="preserve">Non-Derivative </w:t>
            </w:r>
            <w:r w:rsidRPr="002239B5">
              <w:rPr>
                <w:color w:val="0000FF"/>
                <w:cs/>
              </w:rPr>
              <w:t>ที่เปลี่ยนแปลง</w:t>
            </w:r>
            <w:r w:rsidRPr="002239B5">
              <w:rPr>
                <w:color w:val="0000FF"/>
              </w:rPr>
              <w:t xml:space="preserve"> </w:t>
            </w:r>
            <w:r w:rsidRPr="002239B5">
              <w:rPr>
                <w:rFonts w:hint="cs"/>
                <w:color w:val="0000FF"/>
                <w:cs/>
              </w:rPr>
              <w:t xml:space="preserve">เมื่อราคา </w:t>
            </w:r>
            <w:r w:rsidRPr="002239B5">
              <w:rPr>
                <w:color w:val="0000FF"/>
              </w:rPr>
              <w:t xml:space="preserve">Underlying </w:t>
            </w:r>
            <w:r w:rsidRPr="002239B5">
              <w:rPr>
                <w:rFonts w:hint="cs"/>
                <w:color w:val="0000FF"/>
                <w:cs/>
              </w:rPr>
              <w:t>เปลี่ยนแปลงไป</w:t>
            </w:r>
          </w:p>
        </w:tc>
      </w:tr>
      <w:tr w:rsidR="002239B5" w:rsidRPr="002239B5" w14:paraId="7C864C21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85E3092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Vega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A3D16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มูลค่าธุรกรรม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Option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ในบัญชีเพื่อค้า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ที่เปลี่ยนแปลง เมื่อ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ความผันผวน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(Implied volatility)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Underlying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เปลี่ยนแปลงไป</w:t>
            </w:r>
          </w:p>
        </w:tc>
      </w:tr>
    </w:tbl>
    <w:p w14:paraId="4D8DF2BD" w14:textId="313CA634" w:rsidR="002239B5" w:rsidRDefault="002239B5"/>
    <w:p w14:paraId="7EC0E816" w14:textId="77777777" w:rsidR="002239B5" w:rsidRDefault="002239B5">
      <w:r>
        <w:br w:type="page"/>
      </w:r>
    </w:p>
    <w:p w14:paraId="3B7FCF33" w14:textId="77777777" w:rsidR="002239B5" w:rsidRDefault="002239B5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D032D7" w:rsidRPr="00085B0E" w14:paraId="5346D784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BACFA" w14:textId="297A2298" w:rsidR="00D032D7" w:rsidRPr="00085B0E" w:rsidRDefault="00D032D7" w:rsidP="00D03BD6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17CAA3" w14:textId="25CDB6C9" w:rsidR="00D032D7" w:rsidRPr="00085B0E" w:rsidRDefault="00D032D7" w:rsidP="00D03BD6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967229"/>
            <w:bookmarkStart w:id="11" w:name="_Toc17464906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Indicator</w:t>
            </w:r>
            <w:bookmarkEnd w:id="10"/>
            <w:bookmarkEnd w:id="1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5A48E" w14:textId="77777777" w:rsidR="00D032D7" w:rsidRPr="00085B0E" w:rsidRDefault="00D032D7" w:rsidP="00D03BD6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C6CD6D" w14:textId="77777777" w:rsidR="00D032D7" w:rsidRPr="00B14489" w:rsidRDefault="00D032D7" w:rsidP="00D032D7">
      <w:pPr>
        <w:rPr>
          <w:color w:val="000000" w:themeColor="text1"/>
        </w:rPr>
      </w:pPr>
    </w:p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D032D7" w:rsidRPr="00050950" w14:paraId="740C1094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C3ACB5" w14:textId="77777777" w:rsidR="00D032D7" w:rsidRPr="00F4022B" w:rsidRDefault="00D032D7" w:rsidP="00D03BD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5C57AFD" w14:textId="77777777" w:rsidR="00D032D7" w:rsidRPr="00F4022B" w:rsidRDefault="00D032D7" w:rsidP="00D03BD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032D7" w:rsidRPr="00050950" w14:paraId="1518EA3C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E4E159" w14:textId="77777777" w:rsidR="00D032D7" w:rsidRPr="00085B0E" w:rsidRDefault="00D032D7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A5D63F" w14:textId="119EE4C0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D032D7" w:rsidRPr="00050950" w14:paraId="797634D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EADE0" w14:textId="77777777" w:rsidR="00D032D7" w:rsidRPr="00C42038" w:rsidRDefault="00D032D7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15F6A" w14:textId="17BA48E2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LCR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B9EE3B2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69D1C" w14:textId="77777777" w:rsidR="00D032D7" w:rsidRPr="00C42038" w:rsidRDefault="00D032D7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561636" w14:textId="608AC33E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NFSR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EFD210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1E17C" w14:textId="77777777" w:rsidR="00D032D7" w:rsidRPr="00812405" w:rsidRDefault="00D032D7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FFE7" w14:textId="467103C1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D032D7" w:rsidRPr="00050950" w14:paraId="68C1E01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E9CB49" w14:textId="77777777" w:rsidR="00D032D7" w:rsidRPr="00C42038" w:rsidRDefault="00D032D7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Top </w:t>
            </w:r>
            <w:r w:rsidRPr="0099021D">
              <w:rPr>
                <w:rFonts w:cs="Tahoma"/>
                <w:color w:val="000000" w:themeColor="text1"/>
                <w:cs/>
                <w:lang w:val="en-US" w:eastAsia="en-US"/>
              </w:rPr>
              <w:t xml:space="preserve">20 </w:t>
            </w:r>
            <w:r w:rsidRPr="0099021D">
              <w:rPr>
                <w:rFonts w:cs="Tahoma"/>
                <w:color w:val="000000" w:themeColor="text1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F6A26C" w14:textId="284EE5A6" w:rsidR="00D032D7" w:rsidRPr="00050950" w:rsidRDefault="00D032D7" w:rsidP="00D03BD6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Top 20 Funding / Total Funding </w:t>
            </w:r>
            <w:r w:rsidRPr="0099021D">
              <w:rPr>
                <w:color w:val="000000" w:themeColor="text1"/>
                <w:cs/>
              </w:rPr>
              <w:t>ตามคำจำกัดความของสถาบันการเงิน</w:t>
            </w:r>
          </w:p>
        </w:tc>
      </w:tr>
      <w:tr w:rsidR="00D032D7" w:rsidRPr="00050950" w14:paraId="6419FAEF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BE26BF" w14:textId="1832B352" w:rsidR="00D032D7" w:rsidRPr="00C42038" w:rsidRDefault="00C21284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1522A" w14:textId="77777777" w:rsidR="00D032D7" w:rsidRPr="00050950" w:rsidRDefault="00D032D7" w:rsidP="00D03BD6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Contractual Gap </w:t>
            </w:r>
            <w:r w:rsidRPr="0099021D">
              <w:rPr>
                <w:color w:val="000000" w:themeColor="text1"/>
                <w:cs/>
              </w:rPr>
              <w:t xml:space="preserve">สะสมที่มีระยะเวลาน้อยกว่าหรือเท่ากับ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  <w:tr w:rsidR="00D032D7" w:rsidRPr="00050950" w14:paraId="542EEF2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3BC8F52" w14:textId="25830CCC" w:rsidR="00D032D7" w:rsidRPr="00C42038" w:rsidRDefault="00C21284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3173B" w14:textId="1F52F7BB" w:rsidR="00D032D7" w:rsidRPr="00050950" w:rsidRDefault="00D032D7" w:rsidP="00D03BD6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Behavior Gap </w:t>
            </w:r>
            <w:r w:rsidRPr="0099021D">
              <w:rPr>
                <w:color w:val="000000" w:themeColor="text1"/>
                <w:cs/>
              </w:rPr>
              <w:t>สะสม</w:t>
            </w:r>
            <w:r w:rsidR="0083274A">
              <w:rPr>
                <w:rFonts w:hint="cs"/>
                <w:color w:val="000000" w:themeColor="text1"/>
                <w:cs/>
              </w:rPr>
              <w:t>ที่</w:t>
            </w:r>
            <w:r w:rsidRPr="0099021D">
              <w:rPr>
                <w:color w:val="000000" w:themeColor="text1"/>
                <w:cs/>
              </w:rPr>
              <w:t xml:space="preserve">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</w:tbl>
    <w:p w14:paraId="16C374F1" w14:textId="6977740B" w:rsidR="00D032D7" w:rsidRDefault="00D032D7"/>
    <w:p w14:paraId="403A1F13" w14:textId="4B7F9295" w:rsidR="002239B5" w:rsidRDefault="00D032D7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0FA285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E022F" w14:textId="77777777" w:rsidR="002239B5" w:rsidRPr="002239B5" w:rsidRDefault="002239B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6AE0D" w14:textId="2F68A61E" w:rsidR="002239B5" w:rsidRPr="002239B5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2" w:name="_Toc536175079"/>
            <w:bookmarkStart w:id="13" w:name="_Toc964900"/>
            <w:bookmarkStart w:id="14" w:name="_Toc3224259"/>
            <w:bookmarkStart w:id="15" w:name="_Toc17464907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IR Curve</w:t>
            </w:r>
            <w:bookmarkEnd w:id="12"/>
            <w:bookmarkEnd w:id="13"/>
            <w:bookmarkEnd w:id="14"/>
            <w:bookmarkEnd w:id="1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1FEE8F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0DA6F2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0A184C4D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6E62245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5BDB6BC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27C89EDC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33DF24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Swap Curve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04589F" w14:textId="77777777" w:rsidR="002239B5" w:rsidRPr="002239B5" w:rsidRDefault="002239B5" w:rsidP="00D03BD6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</w:rPr>
              <w:t xml:space="preserve">Curve </w:t>
            </w:r>
            <w:r w:rsidRPr="002239B5">
              <w:rPr>
                <w:color w:val="0000FF"/>
                <w:cs/>
              </w:rPr>
              <w:t xml:space="preserve">หลักที่ใช้หา </w:t>
            </w:r>
            <w:r w:rsidRPr="002239B5">
              <w:rPr>
                <w:color w:val="0000FF"/>
              </w:rPr>
              <w:t xml:space="preserve">IR Sensitivity </w:t>
            </w:r>
            <w:r w:rsidRPr="002239B5">
              <w:rPr>
                <w:color w:val="0000FF"/>
                <w:cs/>
              </w:rPr>
              <w:t>ของ</w:t>
            </w:r>
            <w:r w:rsidRPr="002239B5">
              <w:rPr>
                <w:rFonts w:hint="cs"/>
                <w:color w:val="0000FF"/>
                <w:cs/>
              </w:rPr>
              <w:t>ธุรกรรม เช่น</w:t>
            </w:r>
            <w:r w:rsidRPr="002239B5">
              <w:rPr>
                <w:color w:val="0000FF"/>
                <w:cs/>
              </w:rPr>
              <w:t xml:space="preserve"> </w:t>
            </w:r>
            <w:r w:rsidRPr="002239B5">
              <w:rPr>
                <w:color w:val="0000FF"/>
              </w:rPr>
              <w:t xml:space="preserve">Interest rate swap (IRS) </w:t>
            </w:r>
            <w:r w:rsidRPr="002239B5">
              <w:rPr>
                <w:rFonts w:hint="cs"/>
                <w:color w:val="0000FF"/>
                <w:cs/>
              </w:rPr>
              <w:t>และ</w:t>
            </w:r>
            <w:r w:rsidRPr="002239B5">
              <w:rPr>
                <w:color w:val="0000FF"/>
              </w:rPr>
              <w:t xml:space="preserve"> Cross currency swap (CCS) </w:t>
            </w:r>
            <w:r w:rsidRPr="002239B5">
              <w:rPr>
                <w:color w:val="0000FF"/>
                <w:cs/>
              </w:rPr>
              <w:t xml:space="preserve">แต่ละสกุลเงิน เช่น สกุลบาทอาจประกอบด้วย </w:t>
            </w:r>
            <w:r w:rsidRPr="002239B5">
              <w:rPr>
                <w:color w:val="0000FF"/>
              </w:rPr>
              <w:t xml:space="preserve">THBFIX THBIRS </w:t>
            </w:r>
            <w:r w:rsidRPr="002239B5">
              <w:rPr>
                <w:color w:val="0000FF"/>
                <w:cs/>
              </w:rPr>
              <w:t xml:space="preserve">และ </w:t>
            </w:r>
            <w:proofErr w:type="spellStart"/>
            <w:r w:rsidRPr="002239B5">
              <w:rPr>
                <w:color w:val="0000FF"/>
              </w:rPr>
              <w:t>THBSwapRate</w:t>
            </w:r>
            <w:proofErr w:type="spellEnd"/>
          </w:p>
        </w:tc>
      </w:tr>
      <w:tr w:rsidR="002239B5" w:rsidRPr="002239B5" w14:paraId="6B92955B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832241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Swap Curve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C60AA0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เช่น ธุรกรรม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 THB ND-IRS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ซึ่งเป็นการแลกเปลี่ยนกระแสเงินสด ระหว่างอัตราดอกเบี้ยคงที่ และอัตราดอกเบี้ยลอยตัว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มีการ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ชำระส่วนต่างราคา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>USD</w:t>
            </w:r>
          </w:p>
        </w:tc>
      </w:tr>
      <w:tr w:rsidR="002239B5" w:rsidRPr="002239B5" w14:paraId="6D3E7A1C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78C05D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Tenor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7896D0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ระหว่างช่วงเวลาของ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หลัก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THBBasis1m6m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 </w:t>
            </w:r>
            <w:r w:rsidRPr="002239B5">
              <w:rPr>
                <w:rFonts w:cs="Tahoma"/>
                <w:color w:val="0000FF"/>
                <w:lang w:val="en-US" w:eastAsia="en-US"/>
              </w:rPr>
              <w:t>THBBasis3m6m</w:t>
            </w:r>
          </w:p>
        </w:tc>
      </w:tr>
      <w:tr w:rsidR="002239B5" w:rsidRPr="002239B5" w14:paraId="58022B36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DF6821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Cross Currency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AA7973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against USD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>USDTHB CCS Basis</w:t>
            </w:r>
          </w:p>
        </w:tc>
      </w:tr>
      <w:tr w:rsidR="002239B5" w:rsidRPr="002239B5" w14:paraId="696928E3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4088D0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Government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CD775E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ของธุรกรรมตราสารหนี้ที่ออกโดยรัฐบาล</w:t>
            </w:r>
          </w:p>
        </w:tc>
      </w:tr>
      <w:tr w:rsidR="002239B5" w:rsidRPr="002239B5" w14:paraId="7CFEF4DD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528135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 Bond Curve (Credit Spread)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338195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Credit Spread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ของธุรกรรมตราสารหนี้ที่ผู้ออกไม่ใช่รัฐบาล</w:t>
            </w:r>
          </w:p>
        </w:tc>
      </w:tr>
      <w:tr w:rsidR="002239B5" w:rsidRPr="002239B5" w14:paraId="23A882CE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04BAEB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B44B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ซึ่งเกิดจากการรวมกันระหว่าง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มากกว่า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1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ประเภท เช่น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Swap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Basis Curve</w:t>
            </w:r>
          </w:p>
        </w:tc>
      </w:tr>
      <w:tr w:rsidR="002239B5" w:rsidRPr="002239B5" w14:paraId="777717E9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12AEDF59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BB09E2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อื่น ๆ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 Basis FDR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THB Basis MLR</w:t>
            </w:r>
          </w:p>
        </w:tc>
      </w:tr>
      <w:tr w:rsidR="002239B5" w:rsidRPr="002239B5" w14:paraId="0B15FD0C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2EDD4CAB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2FBE2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รวมที่ใช้หา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กรณีไม่ได้แยกคำนวณราย </w:t>
            </w:r>
            <w:r w:rsidRPr="002239B5">
              <w:rPr>
                <w:rFonts w:cs="Tahoma"/>
                <w:color w:val="0000FF"/>
                <w:lang w:val="en-US" w:eastAsia="en-US"/>
              </w:rPr>
              <w:t>Curve</w:t>
            </w:r>
          </w:p>
        </w:tc>
      </w:tr>
    </w:tbl>
    <w:p w14:paraId="65997738" w14:textId="77777777" w:rsidR="002239B5" w:rsidRPr="002239B5" w:rsidRDefault="002239B5" w:rsidP="002239B5">
      <w:pPr>
        <w:rPr>
          <w:color w:val="0000FF"/>
        </w:rPr>
      </w:pPr>
    </w:p>
    <w:p w14:paraId="7D3784D8" w14:textId="136135A6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ED725B9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5E2891" w14:textId="77777777" w:rsidR="002239B5" w:rsidRPr="00670F3E" w:rsidRDefault="002239B5" w:rsidP="00D03BD6">
            <w:pPr>
              <w:rPr>
                <w:b/>
                <w:bCs/>
                <w:color w:val="0000FF"/>
              </w:rPr>
            </w:pPr>
            <w:r w:rsidRPr="00670F3E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470DFA" w14:textId="5384D2AC" w:rsidR="002239B5" w:rsidRPr="00670F3E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6" w:name="_Toc536175077"/>
            <w:bookmarkStart w:id="17" w:name="_Toc964898"/>
            <w:bookmarkStart w:id="18" w:name="_Toc3224260"/>
            <w:bookmarkStart w:id="19" w:name="_Toc17464908"/>
            <w:r w:rsidRPr="00670F3E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Market Risk Factor Type</w:t>
            </w:r>
            <w:bookmarkEnd w:id="16"/>
            <w:bookmarkEnd w:id="17"/>
            <w:bookmarkEnd w:id="18"/>
            <w:bookmarkEnd w:id="1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F01EB7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4ECF22D7" w14:textId="77777777" w:rsidR="002239B5" w:rsidRPr="002239B5" w:rsidRDefault="002239B5" w:rsidP="002239B5">
      <w:pPr>
        <w:rPr>
          <w:color w:val="0000FF"/>
        </w:rPr>
      </w:pPr>
    </w:p>
    <w:tbl>
      <w:tblPr>
        <w:tblW w:w="143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  <w:gridCol w:w="6840"/>
        <w:gridCol w:w="900"/>
        <w:gridCol w:w="900"/>
      </w:tblGrid>
      <w:tr w:rsidR="0004366B" w:rsidRPr="002239B5" w14:paraId="2957471B" w14:textId="77777777" w:rsidTr="00396D67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B787D06" w14:textId="77777777" w:rsidR="0004366B" w:rsidRPr="002239B5" w:rsidRDefault="0004366B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637359" w14:textId="5B50A499" w:rsidR="0004366B" w:rsidRPr="002239B5" w:rsidRDefault="0004366B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DE67F" w14:textId="2A726864" w:rsidR="0004366B" w:rsidRPr="0004366B" w:rsidRDefault="0004366B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04366B">
              <w:rPr>
                <w:b/>
                <w:bCs/>
                <w:color w:val="FF0000"/>
              </w:rPr>
              <w:t>V_VAR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8615719" w14:textId="021B9135" w:rsidR="0004366B" w:rsidRPr="0004366B" w:rsidRDefault="0004366B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04366B">
              <w:rPr>
                <w:b/>
                <w:bCs/>
                <w:color w:val="FF0000"/>
              </w:rPr>
              <w:t>V_GRK</w:t>
            </w:r>
          </w:p>
        </w:tc>
      </w:tr>
      <w:tr w:rsidR="0004366B" w:rsidRPr="002239B5" w14:paraId="6D45D31E" w14:textId="77777777" w:rsidTr="00396D67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4F954D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Aggregate</w:t>
            </w:r>
          </w:p>
        </w:tc>
        <w:tc>
          <w:tcPr>
            <w:tcW w:w="68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F0ABA" w14:textId="4F6E752C" w:rsidR="0004366B" w:rsidRPr="002239B5" w:rsidRDefault="0004366B" w:rsidP="0004366B">
            <w:pPr>
              <w:spacing w:before="120" w:line="360" w:lineRule="auto"/>
              <w:rPr>
                <w:color w:val="0000FF"/>
                <w:cs/>
              </w:rPr>
            </w:pPr>
            <w:r w:rsidRPr="002239B5">
              <w:rPr>
                <w:color w:val="0000FF"/>
                <w:cs/>
              </w:rPr>
              <w:t>ความเสี่ยงรวมหรือความเสี่ยงที่</w:t>
            </w:r>
            <w:r>
              <w:rPr>
                <w:color w:val="0000FF"/>
                <w:cs/>
              </w:rPr>
              <w:t>ไม่สามารถแยกประเภทความเสี่ยงได้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8AA08" w14:textId="2385CDF4" w:rsidR="0004366B" w:rsidRPr="0004366B" w:rsidRDefault="0004366B" w:rsidP="0004366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1F712E" w14:textId="40BFEFAD" w:rsidR="0004366B" w:rsidRPr="0004366B" w:rsidRDefault="0004366B" w:rsidP="0004366B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04366B" w:rsidRPr="002239B5" w14:paraId="2DE5E1B5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C104D6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FX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73207" w14:textId="61D77A65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</w:t>
            </w:r>
            <w:r>
              <w:rPr>
                <w:rFonts w:cs="Tahoma"/>
                <w:color w:val="0000FF"/>
                <w:cs/>
                <w:lang w:val="en-US" w:eastAsia="en-US"/>
              </w:rPr>
              <w:t>วามเสี่ยงด้านอัตราแลกเปลี่ยน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706DB" w14:textId="5F3AD684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33E9D" w14:textId="4B1CF847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3F181FF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1099F8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IR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7AB66" w14:textId="07DB8AED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>
              <w:rPr>
                <w:rFonts w:cs="Tahoma"/>
                <w:color w:val="0000FF"/>
                <w:cs/>
                <w:lang w:val="en-US" w:eastAsia="en-US"/>
              </w:rPr>
              <w:t>ความเสี่ยงด้านอัตราดอกเบี้ย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87FD1" w14:textId="6F446DBA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2EFA84C" w14:textId="316DAB10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3C1741C3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8FDF1E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Commodity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BD48E" w14:textId="6CACCD7F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</w:t>
            </w:r>
            <w:r>
              <w:rPr>
                <w:rFonts w:cs="Tahoma"/>
                <w:color w:val="0000FF"/>
                <w:cs/>
                <w:lang w:val="en-US" w:eastAsia="en-US"/>
              </w:rPr>
              <w:t>วามเสี่ยงด้านราคาสินค้าโภคภัณฑ์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BB388" w14:textId="2F32685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6F40D6" w14:textId="57485489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42FFA36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29E98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Equity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94CB4" w14:textId="78094A04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>
              <w:rPr>
                <w:rFonts w:cs="Tahoma"/>
                <w:color w:val="0000FF"/>
                <w:cs/>
                <w:lang w:val="en-US" w:eastAsia="en-US"/>
              </w:rPr>
              <w:t>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845ED" w14:textId="3BDA91E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CB155F" w14:textId="0CDFEFC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564CCA6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2D2BC4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9ABE" w14:textId="17697391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69251" w14:textId="51E0828F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F4ED9F" w14:textId="05FF51C2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11F766F4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FE6D05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F5412" w14:textId="1C97DF76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ความเสี่ยงที่ไม่สามารถแยกประเภทความเสี่ยงได้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ตาม </w:t>
            </w:r>
            <w:r w:rsidRPr="002239B5">
              <w:rPr>
                <w:rFonts w:cs="Tahoma"/>
                <w:color w:val="0000FF"/>
                <w:lang w:val="en-US" w:eastAsia="en-US"/>
              </w:rPr>
              <w:t>Market Risk Factor Type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329D4" w14:textId="182628FE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A94636" w14:textId="2EF0417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541A3F0D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B355051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FBB07E" w14:textId="6EA44F34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ความเสี่ยงรวมของค่า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399ED1" w14:textId="0048E812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71DAD" w14:textId="520D3339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</w:tbl>
    <w:p w14:paraId="1353EAAA" w14:textId="77777777" w:rsidR="00D032D7" w:rsidRPr="002239B5" w:rsidRDefault="00D032D7">
      <w:pPr>
        <w:rPr>
          <w:color w:val="0000FF"/>
          <w:cs/>
        </w:rPr>
      </w:pPr>
    </w:p>
    <w:p w14:paraId="335CF894" w14:textId="77777777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B8E07E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0EF96" w14:textId="78280BE3" w:rsidR="002239B5" w:rsidRPr="002239B5" w:rsidRDefault="002239B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426BB" w14:textId="3D29C2D6" w:rsidR="002239B5" w:rsidRPr="002239B5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0" w:name="_Toc536175075"/>
            <w:bookmarkStart w:id="21" w:name="_Toc964896"/>
            <w:bookmarkStart w:id="22" w:name="_Toc3224261"/>
            <w:bookmarkStart w:id="23" w:name="_Toc17464909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Risk Value Type</w:t>
            </w:r>
            <w:bookmarkEnd w:id="20"/>
            <w:bookmarkEnd w:id="21"/>
            <w:bookmarkEnd w:id="22"/>
            <w:bookmarkEnd w:id="2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EBA95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D88E6A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A15CE2E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804E325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E8AB385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658974BE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93A4E2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Limit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295AB3" w14:textId="77777777" w:rsidR="002239B5" w:rsidRPr="002239B5" w:rsidRDefault="002239B5" w:rsidP="00D03BD6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  <w:cs/>
              </w:rPr>
              <w:t xml:space="preserve">ค่า </w:t>
            </w:r>
            <w:r w:rsidRPr="002239B5">
              <w:rPr>
                <w:color w:val="0000FF"/>
              </w:rPr>
              <w:t xml:space="preserve">Limit </w:t>
            </w:r>
            <w:r w:rsidRPr="002239B5">
              <w:rPr>
                <w:color w:val="0000FF"/>
                <w:cs/>
              </w:rPr>
              <w:t xml:space="preserve">ของชุดข้อมูล </w:t>
            </w:r>
            <w:proofErr w:type="spellStart"/>
            <w:r w:rsidRPr="002239B5">
              <w:rPr>
                <w:color w:val="0000FF"/>
              </w:rPr>
              <w:t>VaR</w:t>
            </w:r>
            <w:proofErr w:type="spellEnd"/>
            <w:r w:rsidRPr="002239B5">
              <w:rPr>
                <w:color w:val="0000FF"/>
              </w:rPr>
              <w:t xml:space="preserve">, Greek </w:t>
            </w:r>
            <w:r w:rsidRPr="002239B5">
              <w:rPr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>IR PV01</w:t>
            </w:r>
          </w:p>
        </w:tc>
      </w:tr>
      <w:tr w:rsidR="002239B5" w:rsidRPr="002239B5" w14:paraId="6E456B08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55096A1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Actual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AF971F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Actual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ของชุดข้อมูล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, Greek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IR PV01</w:t>
            </w:r>
          </w:p>
        </w:tc>
      </w:tr>
    </w:tbl>
    <w:p w14:paraId="1CA54405" w14:textId="2DB9C114" w:rsidR="002239B5" w:rsidRPr="002239B5" w:rsidRDefault="002239B5">
      <w:pPr>
        <w:rPr>
          <w:color w:val="0000FF"/>
        </w:rPr>
      </w:pPr>
    </w:p>
    <w:p w14:paraId="28745531" w14:textId="1C493FFE" w:rsidR="00B914CA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B914CA" w:rsidRPr="00B914CA" w14:paraId="6AC94793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9E4FD" w14:textId="77777777" w:rsidR="00B914CA" w:rsidRPr="00B914CA" w:rsidRDefault="00B914CA" w:rsidP="00D03BD6">
            <w:pPr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295BB" w14:textId="77AD7188" w:rsidR="00B914CA" w:rsidRPr="00B914CA" w:rsidRDefault="00B634E8" w:rsidP="00B634E8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24" w:name="_Toc17464910"/>
            <w:r w:rsidRPr="00B634E8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Comparison operator</w:t>
            </w:r>
            <w:bookmarkEnd w:id="2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6D5EA" w14:textId="77777777" w:rsidR="00B914CA" w:rsidRPr="00B914CA" w:rsidRDefault="00B914CA" w:rsidP="00D03BD6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46CBBCE0" w14:textId="77777777" w:rsidR="00B914CA" w:rsidRPr="00B914CA" w:rsidRDefault="00B914CA" w:rsidP="00B914CA">
      <w:pPr>
        <w:rPr>
          <w:color w:val="FF0000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B914CA" w:rsidRPr="00B914CA" w14:paraId="0045FFB8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119BB90" w14:textId="77777777" w:rsidR="00B914CA" w:rsidRPr="00B914CA" w:rsidRDefault="00B914CA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33D4327" w14:textId="77777777" w:rsidR="00B914CA" w:rsidRPr="00B914CA" w:rsidRDefault="00B914CA" w:rsidP="00D03BD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t>Description</w:t>
            </w:r>
          </w:p>
        </w:tc>
      </w:tr>
      <w:tr w:rsidR="00B914CA" w:rsidRPr="00B914CA" w14:paraId="7A442DDC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FF370" w14:textId="04F118A5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=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DACF02" w14:textId="6FBC88AD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เท่ากับ</w:t>
            </w:r>
          </w:p>
        </w:tc>
      </w:tr>
      <w:tr w:rsidR="00B914CA" w:rsidRPr="00B914CA" w14:paraId="1A652102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A054C7" w14:textId="50B02B78" w:rsidR="00B914CA" w:rsidRPr="00B914CA" w:rsidRDefault="00B914CA" w:rsidP="00B914CA">
            <w:pPr>
              <w:spacing w:before="120" w:line="360" w:lineRule="auto"/>
              <w:rPr>
                <w:color w:val="FF0000"/>
                <w:cs/>
              </w:rPr>
            </w:pPr>
            <w:r w:rsidRPr="00B914CA">
              <w:rPr>
                <w:color w:val="FF0000"/>
              </w:rPr>
              <w:t>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E12C16" w14:textId="223A2C32" w:rsidR="00B914CA" w:rsidRPr="00B914CA" w:rsidRDefault="00F82C98" w:rsidP="00B914CA">
            <w:pPr>
              <w:spacing w:before="120" w:line="360" w:lineRule="auto"/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มากกว่า</w:t>
            </w:r>
          </w:p>
        </w:tc>
      </w:tr>
      <w:tr w:rsidR="00B914CA" w:rsidRPr="00B914CA" w14:paraId="47C4F106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3FE3AE" w14:textId="6A816439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0E6852" w14:textId="1B422C34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น้อยกว่า</w:t>
            </w:r>
          </w:p>
        </w:tc>
      </w:tr>
      <w:tr w:rsidR="00B914CA" w:rsidRPr="00B914CA" w14:paraId="50E52652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52C58" w14:textId="09FF40FB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&gt;=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C306B5" w14:textId="14157E47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มากกว่าหรือเท่ากับ</w:t>
            </w:r>
          </w:p>
        </w:tc>
      </w:tr>
      <w:tr w:rsidR="00B914CA" w:rsidRPr="00B914CA" w14:paraId="408D43B0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CC6E1F" w14:textId="206C8B91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A99385" w14:textId="129BC3B4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น้อยกว่าหรือเท่ากับ</w:t>
            </w:r>
          </w:p>
        </w:tc>
      </w:tr>
      <w:tr w:rsidR="00B914CA" w:rsidRPr="00B914CA" w14:paraId="07F670C6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9B2A8D5" w14:textId="7F32FDDB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3B9A9" w14:textId="7CAF8583" w:rsidR="00B914CA" w:rsidRPr="00B914CA" w:rsidRDefault="00B914CA" w:rsidP="00F82C98">
            <w:pPr>
              <w:spacing w:before="120" w:line="360" w:lineRule="auto"/>
              <w:rPr>
                <w:color w:val="FF0000"/>
                <w:cs/>
              </w:rPr>
            </w:pPr>
            <w:r w:rsidRPr="00B914CA">
              <w:rPr>
                <w:rFonts w:hint="cs"/>
                <w:color w:val="FF0000"/>
                <w:cs/>
              </w:rPr>
              <w:t>เครื่องหมายไม่เท่ากับ</w:t>
            </w:r>
          </w:p>
        </w:tc>
      </w:tr>
    </w:tbl>
    <w:p w14:paraId="0E10A5EB" w14:textId="77777777" w:rsidR="002239B5" w:rsidRPr="002239B5" w:rsidRDefault="002239B5">
      <w:pPr>
        <w:rPr>
          <w:color w:val="0000FF"/>
        </w:rPr>
      </w:pPr>
    </w:p>
    <w:p w14:paraId="631AD150" w14:textId="77777777" w:rsidR="00B914CA" w:rsidRDefault="00B914CA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7F470A" w:rsidRPr="00085B0E" w14:paraId="599B449B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DE0C9" w14:textId="34B01B79" w:rsidR="007F470A" w:rsidRPr="00085B0E" w:rsidRDefault="007F470A" w:rsidP="00D03BD6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55410" w14:textId="41CD9A9B" w:rsidR="007F470A" w:rsidRPr="00085B0E" w:rsidRDefault="007F470A" w:rsidP="007F47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5" w:name="_Toc959106"/>
            <w:bookmarkStart w:id="26" w:name="_Toc17464911"/>
            <w:r w:rsidRPr="007F470A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Target Type</w:t>
            </w:r>
            <w:bookmarkEnd w:id="25"/>
            <w:bookmarkEnd w:id="26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A6C9DF" w14:textId="77777777" w:rsidR="007F470A" w:rsidRPr="00085B0E" w:rsidRDefault="007F470A" w:rsidP="00D03BD6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DC73B09" w14:textId="77777777" w:rsidR="00A656F6" w:rsidRDefault="00A656F6" w:rsidP="000108A0">
      <w:pPr>
        <w:rPr>
          <w:color w:val="000000" w:themeColor="text1"/>
        </w:rPr>
      </w:pPr>
    </w:p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A2402C" w:rsidRPr="00050950" w14:paraId="49C2C9AB" w14:textId="77777777" w:rsidTr="00187DCA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EC3BDBC" w14:textId="77777777" w:rsidR="00A2402C" w:rsidRPr="00F4022B" w:rsidRDefault="00A2402C" w:rsidP="00D03BD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65298F6" w14:textId="77777777" w:rsidR="00A2402C" w:rsidRPr="00F4022B" w:rsidRDefault="00A2402C" w:rsidP="00D03BD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2402C" w:rsidRPr="00050950" w14:paraId="42335A0D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F76B8" w14:textId="7BF284A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total loans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A4343" w14:textId="718ABEA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เป้าหมายการขยายสินเชื่อรวม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6524670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2701A" w14:textId="21D7AB1C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Corporate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6364F2" w14:textId="45254414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Corporate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3F346F6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91BD47" w14:textId="58392828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SMEs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17340C" w14:textId="48C3391F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SMEs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4D7C9E0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A1867F" w14:textId="23C678F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Retail loans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B1A110" w14:textId="109C1B7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Retail</w:t>
            </w:r>
          </w:p>
        </w:tc>
      </w:tr>
      <w:tr w:rsidR="00A2402C" w:rsidRPr="00050950" w14:paraId="59B83FE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6793C" w14:textId="15B1C8A4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25C9B7" w14:textId="5F52B4A6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เป้าหมายการขยายสินเชื่อเช่าซื้อ</w:t>
            </w:r>
          </w:p>
        </w:tc>
      </w:tr>
      <w:tr w:rsidR="00A2402C" w:rsidRPr="00050950" w14:paraId="08E5256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96E1F" w14:textId="538828C2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25AE1" w14:textId="0EAEE142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เป้าหมายการขยายสินเชื่อที่อยู่อาศัย</w:t>
            </w:r>
          </w:p>
        </w:tc>
      </w:tr>
      <w:tr w:rsidR="00A2402C" w:rsidRPr="00050950" w14:paraId="114CEBC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D7EA8E" w14:textId="368858E5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4E2E24" w14:textId="362DCD6A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เป้าหมายการขยายสินเชื่อบัตรเครดิต</w:t>
            </w:r>
          </w:p>
        </w:tc>
      </w:tr>
      <w:tr w:rsidR="00A2402C" w:rsidRPr="00050950" w14:paraId="07756F7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86374" w14:textId="1243D340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EC2C8A" w14:textId="4353BAF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เป้าหมายการขยายสินเชื่อส่วนบุคคล</w:t>
            </w:r>
          </w:p>
        </w:tc>
      </w:tr>
      <w:tr w:rsidR="00A2402C" w:rsidRPr="00050950" w14:paraId="6DEC4EB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C6A7F7" w14:textId="101AC3C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Deposit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26B4A1" w14:textId="72810311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เป้าหมายการขยายเงินรับฝาก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5B0F3CA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BD48CF" w14:textId="0DE8E192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9EF44E" w14:textId="414857D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เป้าหมายเงินกู้ยืม </w:t>
            </w:r>
            <w:r w:rsidRPr="00155E0C">
              <w:rPr>
                <w:color w:val="000000" w:themeColor="text1"/>
              </w:rPr>
              <w:t>Interbank</w:t>
            </w:r>
          </w:p>
        </w:tc>
      </w:tr>
      <w:tr w:rsidR="00A2402C" w:rsidRPr="00050950" w14:paraId="118E10E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BC1C4" w14:textId="1D484E9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 xml:space="preserve">wth Borrowing 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>(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>excluded Interbank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3274A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="0083274A"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B53A66" w14:textId="33A30CC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เป้าหมายเงินกู้ยืม</w:t>
            </w:r>
            <w:r w:rsidR="0083274A">
              <w:rPr>
                <w:rFonts w:hint="cs"/>
                <w:color w:val="000000" w:themeColor="text1"/>
                <w:cs/>
              </w:rPr>
              <w:t xml:space="preserve">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</w:t>
            </w:r>
            <w:r w:rsidR="0083274A">
              <w:rPr>
                <w:color w:val="000000" w:themeColor="text1"/>
              </w:rPr>
              <w:t>)</w:t>
            </w:r>
          </w:p>
        </w:tc>
      </w:tr>
      <w:tr w:rsidR="00A2402C" w:rsidRPr="00050950" w14:paraId="4190847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9A2A5" w14:textId="6DD5069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Non interest income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F163DA" w14:textId="325E8E1D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เป้าหมายรายได้ที่ไม่ใช่ดอกเบี้ย (</w:t>
            </w:r>
            <w:r w:rsidRPr="00155E0C">
              <w:rPr>
                <w:color w:val="000000" w:themeColor="text1"/>
              </w:rPr>
              <w:t>Non NII)</w:t>
            </w:r>
          </w:p>
        </w:tc>
      </w:tr>
      <w:tr w:rsidR="00A2402C" w:rsidRPr="00050950" w14:paraId="0FF360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7B9A5" w14:textId="6669400D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D9ADF5" w14:textId="40B7C859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เป้าหมายรายได้ค่าธรรมเนียม</w:t>
            </w:r>
          </w:p>
        </w:tc>
      </w:tr>
      <w:tr w:rsidR="00A2402C" w:rsidRPr="00050950" w14:paraId="631D6C7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FC83E2" w14:textId="243EC44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5C25A8" w14:textId="14C09E5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155E0C">
              <w:rPr>
                <w:color w:val="000000" w:themeColor="text1"/>
              </w:rPr>
              <w:t>Cost to Income (%)</w:t>
            </w:r>
          </w:p>
        </w:tc>
      </w:tr>
      <w:tr w:rsidR="00A2402C" w:rsidRPr="00050950" w14:paraId="4DCC629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42C36" w14:textId="0242B8BC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80E48A" w14:textId="47832649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เป้าหมายกำไร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(ขาดทุน)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สุทธิ</w:t>
            </w:r>
          </w:p>
        </w:tc>
      </w:tr>
      <w:tr w:rsidR="00A2402C" w:rsidRPr="00050950" w14:paraId="6285861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378604" w14:textId="16FDE03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lastRenderedPageBreak/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1CFF93" w14:textId="75A4FF33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8A38C2">
              <w:rPr>
                <w:color w:val="0000FF"/>
              </w:rPr>
              <w:t>Gross Non-performing Loans)</w:t>
            </w:r>
          </w:p>
        </w:tc>
      </w:tr>
      <w:tr w:rsidR="00A2402C" w:rsidRPr="00050950" w14:paraId="5235731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A715E1" w14:textId="248E9B4F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FF3F8A" w14:textId="07254177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8A38C2">
              <w:rPr>
                <w:color w:val="0000FF"/>
              </w:rPr>
              <w:t>Net Non-performing Loans)</w:t>
            </w:r>
          </w:p>
        </w:tc>
      </w:tr>
      <w:tr w:rsidR="00A2402C" w:rsidRPr="00050950" w14:paraId="2CC1136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37B05C" w14:textId="649C7DF8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75AED6" w14:textId="25CC1B0A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Net Interest Margin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559812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A71530" w14:textId="62998761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E4AB9A" w14:textId="1A63A41D" w:rsidR="00A2402C" w:rsidRPr="00050950" w:rsidRDefault="00B52C80" w:rsidP="00A240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</w:t>
            </w:r>
            <w:r w:rsidR="008A38C2" w:rsidRPr="008A38C2">
              <w:rPr>
                <w:color w:val="000000" w:themeColor="text1"/>
                <w:cs/>
              </w:rPr>
              <w:t xml:space="preserve">ป้าหมายอัตราส่วน </w:t>
            </w:r>
            <w:r w:rsidR="008A38C2" w:rsidRPr="008A38C2">
              <w:rPr>
                <w:color w:val="0000FF"/>
              </w:rPr>
              <w:t xml:space="preserve">Return on Asset </w:t>
            </w:r>
            <w:r w:rsidR="008A38C2"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13EAA12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45D3C" w14:textId="0D60AA4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</w:t>
            </w:r>
            <w:r w:rsidR="00F4687B" w:rsidRPr="00155E0C">
              <w:rPr>
                <w:rFonts w:cs="Tahoma"/>
                <w:color w:val="000000" w:themeColor="text1"/>
                <w:lang w:val="en-US" w:eastAsia="en-US"/>
              </w:rPr>
              <w:t>R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WA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898CC9" w14:textId="429208C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Risk Weighted Asset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27FC3F3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B317FE" w14:textId="06208AE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AC1DB4" w14:textId="698D1AA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Equity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6E3B86D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6CE249" w14:textId="297EABD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31C410" w14:textId="4312C4B1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เป้าหมายเงินกองทุนตามกฎหมาย</w:t>
            </w:r>
          </w:p>
        </w:tc>
      </w:tr>
      <w:tr w:rsidR="00A2402C" w:rsidRPr="00050950" w14:paraId="744D241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0EF739B" w14:textId="7B93601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2E378" w14:textId="02548134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>เป้าหมายอัตราส่วนเงินกองทุนต่อสินทรัพย์เสี่ยง</w:t>
            </w:r>
            <w:r w:rsidRPr="008A38C2">
              <w:rPr>
                <w:color w:val="0000FF"/>
                <w:cs/>
              </w:rPr>
              <w:t xml:space="preserve">ก่อนหักเงินกองทุนส่วนเพิ่มเพื่อรองรับการให้สินเชื่อแก่ลูกหนี้รายใหญ่ </w:t>
            </w:r>
            <w:r w:rsidRPr="008A38C2">
              <w:rPr>
                <w:color w:val="000000" w:themeColor="text1"/>
                <w:cs/>
              </w:rPr>
              <w:t>(%)</w:t>
            </w:r>
          </w:p>
        </w:tc>
      </w:tr>
    </w:tbl>
    <w:p w14:paraId="088F9876" w14:textId="6E852136" w:rsidR="00682F16" w:rsidRPr="00056751" w:rsidRDefault="00682F16" w:rsidP="002B26CB">
      <w:pPr>
        <w:spacing w:before="240"/>
        <w:rPr>
          <w:rFonts w:eastAsia="Calibri"/>
        </w:rPr>
      </w:pPr>
      <w:r w:rsidRPr="00056751">
        <w:rPr>
          <w:rFonts w:eastAsia="Calibri" w:hint="cs"/>
          <w:cs/>
        </w:rPr>
        <w:t>หมายเหตุ</w:t>
      </w:r>
      <w:r w:rsidR="00801C86">
        <w:rPr>
          <w:rFonts w:eastAsia="Calibri"/>
        </w:rPr>
        <w:t>:</w:t>
      </w:r>
    </w:p>
    <w:p w14:paraId="7AE959B5" w14:textId="593D59A1" w:rsidR="00D318F3" w:rsidRPr="008A38C2" w:rsidRDefault="00D318F3" w:rsidP="00D318F3">
      <w:pPr>
        <w:spacing w:before="120"/>
        <w:ind w:left="270" w:hanging="270"/>
        <w:rPr>
          <w:rFonts w:eastAsia="Calibri"/>
          <w:color w:val="0000FF"/>
        </w:rPr>
      </w:pPr>
      <w:r w:rsidRPr="000A5E5B">
        <w:rPr>
          <w:rFonts w:eastAsia="Calibri"/>
          <w:vertAlign w:val="superscript"/>
        </w:rPr>
        <w:t>1/</w:t>
      </w:r>
      <w:r w:rsidRPr="00D318F3">
        <w:rPr>
          <w:rFonts w:eastAsia="Calibri"/>
        </w:rPr>
        <w:t xml:space="preserve"> Interbank </w:t>
      </w:r>
      <w:r w:rsidRPr="00D318F3">
        <w:rPr>
          <w:rFonts w:eastAsia="Calibri"/>
          <w:cs/>
        </w:rPr>
        <w:t>หมายถึง</w:t>
      </w:r>
      <w:r w:rsidR="008A38C2">
        <w:rPr>
          <w:rFonts w:eastAsia="Calibri"/>
        </w:rPr>
        <w:t xml:space="preserve"> </w:t>
      </w:r>
      <w:r w:rsidR="008A38C2" w:rsidRPr="008A38C2">
        <w:rPr>
          <w:rFonts w:eastAsia="Calibri"/>
          <w:color w:val="0000FF"/>
          <w:cs/>
        </w:rPr>
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</w:r>
    </w:p>
    <w:p w14:paraId="65236A8A" w14:textId="77777777" w:rsidR="00D318F3" w:rsidRPr="00D318F3" w:rsidRDefault="00D318F3" w:rsidP="00D318F3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2/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 xml:space="preserve">โปรดระบุคำจำกัดความสินเชื่อ </w:t>
      </w:r>
      <w:proofErr w:type="gramStart"/>
      <w:r w:rsidRPr="00D318F3">
        <w:rPr>
          <w:rFonts w:eastAsia="Calibri"/>
        </w:rPr>
        <w:t>Corporate  SMEs</w:t>
      </w:r>
      <w:proofErr w:type="gramEnd"/>
      <w:r w:rsidRPr="00D318F3">
        <w:rPr>
          <w:rFonts w:eastAsia="Calibri"/>
        </w:rPr>
        <w:t xml:space="preserve">  Retail  </w:t>
      </w:r>
      <w:r w:rsidRPr="00D318F3">
        <w:rPr>
          <w:rFonts w:eastAsia="Calibri"/>
          <w:cs/>
        </w:rPr>
        <w:t xml:space="preserve">และ </w:t>
      </w:r>
      <w:r w:rsidRPr="00D318F3">
        <w:rPr>
          <w:rFonts w:eastAsia="Calibri"/>
        </w:rPr>
        <w:t xml:space="preserve">Non Interest income </w:t>
      </w:r>
      <w:r w:rsidRPr="00D318F3">
        <w:rPr>
          <w:rFonts w:eastAsia="Calibri"/>
          <w:cs/>
        </w:rPr>
        <w:t xml:space="preserve">ตามคำจำกัดความของสถาบันการเงิน </w:t>
      </w:r>
    </w:p>
    <w:p w14:paraId="3972A6DB" w14:textId="5D719438" w:rsidR="002239B5" w:rsidRDefault="00D318F3" w:rsidP="00187DCA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3/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>อัตราส่วนกำไร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(ขาดทุน)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สุทธิ ต่อสินทรัพย์เสี่ยง</w:t>
      </w:r>
      <w:r w:rsidR="008A38C2" w:rsidRPr="008A38C2">
        <w:rPr>
          <w:rFonts w:eastAsia="Calibri"/>
          <w:color w:val="0000FF"/>
          <w:cs/>
        </w:rPr>
        <w:t>ด้านเครดิต ตลาด และมูลค่าเทียบเท่าสินทรัพย์เสี่ยงด้านปฏิบัติการ</w:t>
      </w:r>
    </w:p>
    <w:p w14:paraId="3310A59B" w14:textId="4DE3CB03" w:rsidR="002239B5" w:rsidRDefault="002239B5">
      <w:pPr>
        <w:rPr>
          <w:rFonts w:eastAsia="Calibri"/>
        </w:rPr>
      </w:pPr>
      <w:r>
        <w:rPr>
          <w:rFonts w:eastAsia="Calibri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CF23C6B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BE3DB" w14:textId="77777777" w:rsidR="002239B5" w:rsidRPr="002239B5" w:rsidRDefault="002239B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1150F" w14:textId="60A08D9F" w:rsidR="002239B5" w:rsidRPr="002239B5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7" w:name="_Toc536175076"/>
            <w:bookmarkStart w:id="28" w:name="_Toc964897"/>
            <w:bookmarkStart w:id="29" w:name="_Toc3224262"/>
            <w:bookmarkStart w:id="30" w:name="_Toc17464912"/>
            <w:proofErr w:type="spellStart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Approach</w:t>
            </w:r>
            <w:bookmarkEnd w:id="27"/>
            <w:bookmarkEnd w:id="28"/>
            <w:bookmarkEnd w:id="29"/>
            <w:bookmarkEnd w:id="3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1CBBF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404D37F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AB25C70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832AE70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5AEFE7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4655F0FC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9127A1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AA178B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</w:tr>
      <w:tr w:rsidR="002239B5" w:rsidRPr="002239B5" w14:paraId="7726C861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0AC3F1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0BF0EF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</w:tr>
      <w:tr w:rsidR="002239B5" w:rsidRPr="002239B5" w14:paraId="122B9F31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E21CFD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7ED12D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</w:tr>
      <w:tr w:rsidR="002239B5" w:rsidRPr="002239B5" w14:paraId="0CA1DFAF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86C762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D75E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โดยใช้วิธีอื่น ๆ</w:t>
            </w:r>
          </w:p>
        </w:tc>
      </w:tr>
    </w:tbl>
    <w:p w14:paraId="390EE855" w14:textId="77777777" w:rsidR="002239B5" w:rsidRPr="002239B5" w:rsidRDefault="002239B5" w:rsidP="002239B5">
      <w:pPr>
        <w:rPr>
          <w:color w:val="0000FF"/>
        </w:rPr>
      </w:pPr>
    </w:p>
    <w:p w14:paraId="0BF3E1B8" w14:textId="77777777" w:rsidR="002239B5" w:rsidRPr="002239B5" w:rsidRDefault="002239B5" w:rsidP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2AD1AC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70558" w14:textId="77777777" w:rsidR="002239B5" w:rsidRPr="002239B5" w:rsidRDefault="002239B5" w:rsidP="00D03BD6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4CEF8" w14:textId="77777777" w:rsidR="002239B5" w:rsidRPr="002239B5" w:rsidRDefault="002239B5" w:rsidP="00D03BD6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31" w:name="_Toc3224263"/>
            <w:bookmarkStart w:id="32" w:name="_Toc17464913"/>
            <w:proofErr w:type="spellStart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Type</w:t>
            </w:r>
            <w:bookmarkEnd w:id="31"/>
            <w:bookmarkEnd w:id="32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84DD4E" w14:textId="77777777" w:rsidR="002239B5" w:rsidRPr="002239B5" w:rsidRDefault="002239B5" w:rsidP="00D03BD6">
            <w:pPr>
              <w:rPr>
                <w:b/>
                <w:bCs/>
                <w:i/>
                <w:iCs/>
                <w:color w:val="0000FF"/>
                <w:highlight w:val="yellow"/>
              </w:rPr>
            </w:pPr>
          </w:p>
        </w:tc>
      </w:tr>
    </w:tbl>
    <w:p w14:paraId="6EBAB99A" w14:textId="77777777" w:rsidR="002239B5" w:rsidRPr="002239B5" w:rsidRDefault="002239B5" w:rsidP="002239B5">
      <w:pPr>
        <w:rPr>
          <w:color w:val="0000FF"/>
          <w:highlight w:val="yellow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1760B1B6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C6F4E8C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24FF3E" w14:textId="77777777" w:rsidR="002239B5" w:rsidRPr="002239B5" w:rsidRDefault="002239B5" w:rsidP="00D03BD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5B523DD1" w14:textId="77777777" w:rsidTr="00D03BD6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38E51D4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General Market Risk Factor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E6337E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ได้แก่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Aggregate, FX, IR, Commodity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Equity </w:t>
            </w:r>
          </w:p>
        </w:tc>
      </w:tr>
      <w:tr w:rsidR="002239B5" w:rsidRPr="002239B5" w14:paraId="532623C3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1A5AFB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 Market Risk Factor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214A23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อื่น ๆ</w:t>
            </w:r>
          </w:p>
        </w:tc>
      </w:tr>
      <w:tr w:rsidR="002239B5" w:rsidRPr="002239B5" w14:paraId="50EEC9C9" w14:textId="77777777" w:rsidTr="00D03BD6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36E433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Trading Desk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DD7C1A" w14:textId="77777777" w:rsidR="002239B5" w:rsidRPr="002239B5" w:rsidRDefault="002239B5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โต๊ะที่ทำธุรกรรม</w:t>
            </w:r>
          </w:p>
        </w:tc>
      </w:tr>
    </w:tbl>
    <w:p w14:paraId="73C003C6" w14:textId="77777777" w:rsidR="002239B5" w:rsidRPr="002239B5" w:rsidRDefault="002239B5" w:rsidP="002239B5">
      <w:pPr>
        <w:rPr>
          <w:color w:val="0000FF"/>
        </w:rPr>
      </w:pPr>
    </w:p>
    <w:p w14:paraId="36F0196B" w14:textId="77777777" w:rsidR="00D318F3" w:rsidRDefault="00D318F3" w:rsidP="002239B5">
      <w:pPr>
        <w:rPr>
          <w:rFonts w:eastAsia="Calibri"/>
          <w:color w:val="0000FF"/>
        </w:rPr>
      </w:pPr>
    </w:p>
    <w:p w14:paraId="02919852" w14:textId="77777777" w:rsidR="00D03BD6" w:rsidRDefault="00D03BD6" w:rsidP="002239B5">
      <w:pPr>
        <w:rPr>
          <w:rFonts w:eastAsia="Calibri"/>
          <w:color w:val="0000FF"/>
        </w:rPr>
      </w:pPr>
    </w:p>
    <w:p w14:paraId="268D2B73" w14:textId="77777777" w:rsidR="00D03BD6" w:rsidRDefault="00D03BD6" w:rsidP="002239B5">
      <w:pPr>
        <w:rPr>
          <w:rFonts w:eastAsia="Calibri"/>
          <w:color w:val="0000FF"/>
        </w:rPr>
      </w:pPr>
    </w:p>
    <w:p w14:paraId="10C8B452" w14:textId="77777777" w:rsidR="00D03BD6" w:rsidRDefault="00D03BD6" w:rsidP="002239B5">
      <w:pPr>
        <w:rPr>
          <w:rFonts w:eastAsia="Calibri"/>
          <w:color w:val="0000FF"/>
        </w:rPr>
      </w:pPr>
    </w:p>
    <w:p w14:paraId="7EBA7A96" w14:textId="77777777" w:rsidR="00D03BD6" w:rsidRDefault="00D03BD6" w:rsidP="002239B5">
      <w:pPr>
        <w:rPr>
          <w:rFonts w:eastAsia="Calibri"/>
          <w:color w:val="0000FF"/>
        </w:rPr>
      </w:pPr>
    </w:p>
    <w:p w14:paraId="52FDD3A9" w14:textId="77777777" w:rsidR="00D03BD6" w:rsidRDefault="00D03BD6" w:rsidP="002239B5">
      <w:pPr>
        <w:rPr>
          <w:rFonts w:eastAsia="Calibri"/>
          <w:color w:val="0000FF"/>
        </w:rPr>
      </w:pPr>
    </w:p>
    <w:p w14:paraId="6EADEE4E" w14:textId="77777777" w:rsidR="00D03BD6" w:rsidRDefault="00D03BD6" w:rsidP="002239B5">
      <w:pPr>
        <w:rPr>
          <w:rFonts w:eastAsia="Calibri"/>
          <w:color w:val="0000FF"/>
        </w:rPr>
      </w:pPr>
    </w:p>
    <w:p w14:paraId="219C2677" w14:textId="77777777" w:rsidR="00D03BD6" w:rsidRDefault="00D03BD6" w:rsidP="002239B5">
      <w:pPr>
        <w:rPr>
          <w:rFonts w:eastAsia="Calibri"/>
          <w:color w:val="0000FF"/>
        </w:rPr>
      </w:pPr>
    </w:p>
    <w:p w14:paraId="7E7C6E15" w14:textId="77777777" w:rsidR="00D03BD6" w:rsidRDefault="00D03BD6" w:rsidP="002239B5">
      <w:pPr>
        <w:rPr>
          <w:rFonts w:eastAsia="Calibri"/>
          <w:color w:val="0000FF"/>
        </w:rPr>
      </w:pPr>
    </w:p>
    <w:p w14:paraId="06980714" w14:textId="77777777" w:rsidR="00D03BD6" w:rsidRDefault="00D03BD6" w:rsidP="002239B5">
      <w:pPr>
        <w:rPr>
          <w:rFonts w:eastAsia="Calibri"/>
          <w:color w:val="0000FF"/>
        </w:rPr>
      </w:pPr>
    </w:p>
    <w:p w14:paraId="11545007" w14:textId="77777777" w:rsidR="00D03BD6" w:rsidRDefault="00D03BD6" w:rsidP="002239B5">
      <w:pPr>
        <w:rPr>
          <w:rFonts w:eastAsia="Calibri"/>
          <w:color w:val="0000FF"/>
        </w:rPr>
      </w:pPr>
    </w:p>
    <w:p w14:paraId="6A8ED423" w14:textId="77777777" w:rsidR="00D03BD6" w:rsidRDefault="00D03BD6" w:rsidP="002239B5">
      <w:pPr>
        <w:rPr>
          <w:rFonts w:eastAsia="Calibri"/>
          <w:color w:val="0000FF"/>
        </w:rPr>
      </w:pPr>
    </w:p>
    <w:p w14:paraId="046D3A61" w14:textId="77777777" w:rsidR="00D03BD6" w:rsidRDefault="00D03BD6" w:rsidP="002239B5">
      <w:pPr>
        <w:rPr>
          <w:rFonts w:eastAsia="Calibri"/>
          <w:color w:val="0000FF"/>
        </w:rPr>
      </w:pPr>
    </w:p>
    <w:p w14:paraId="6D6551C9" w14:textId="77777777" w:rsidR="00D03BD6" w:rsidRDefault="00D03BD6" w:rsidP="002239B5">
      <w:pPr>
        <w:rPr>
          <w:rFonts w:eastAsia="Calibri"/>
          <w:color w:val="0000FF"/>
        </w:rPr>
      </w:pPr>
    </w:p>
    <w:p w14:paraId="62FF6ED9" w14:textId="77777777" w:rsidR="00D03BD6" w:rsidRDefault="00D03BD6" w:rsidP="002239B5">
      <w:pPr>
        <w:rPr>
          <w:rFonts w:eastAsia="Calibri"/>
          <w:color w:val="0000FF"/>
        </w:rPr>
      </w:pPr>
    </w:p>
    <w:p w14:paraId="7C4C6B25" w14:textId="77777777" w:rsidR="00D03BD6" w:rsidRDefault="00D03BD6" w:rsidP="002239B5">
      <w:pPr>
        <w:rPr>
          <w:rFonts w:eastAsia="Calibri"/>
          <w:color w:val="0000FF"/>
        </w:rPr>
      </w:pPr>
    </w:p>
    <w:p w14:paraId="1AB7755C" w14:textId="77777777" w:rsidR="00D03BD6" w:rsidRDefault="00D03BD6" w:rsidP="002239B5">
      <w:pPr>
        <w:rPr>
          <w:rFonts w:eastAsia="Calibri"/>
          <w:color w:val="0000FF"/>
        </w:rPr>
      </w:pPr>
    </w:p>
    <w:p w14:paraId="0B1E1B46" w14:textId="77777777" w:rsidR="00D03BD6" w:rsidRDefault="00D03BD6" w:rsidP="002239B5">
      <w:pPr>
        <w:rPr>
          <w:rFonts w:eastAsia="Calibri"/>
          <w:color w:val="0000FF"/>
        </w:rPr>
      </w:pPr>
    </w:p>
    <w:p w14:paraId="1D08FF89" w14:textId="77777777" w:rsidR="00D03BD6" w:rsidRDefault="00D03BD6" w:rsidP="002239B5">
      <w:pPr>
        <w:rPr>
          <w:rFonts w:eastAsia="Calibri"/>
          <w:color w:val="0000FF"/>
        </w:rPr>
      </w:pPr>
    </w:p>
    <w:p w14:paraId="7D3FD999" w14:textId="77777777" w:rsidR="00D03BD6" w:rsidRDefault="00D03BD6" w:rsidP="002239B5">
      <w:pPr>
        <w:rPr>
          <w:rFonts w:eastAsia="Calibri"/>
          <w:color w:val="0000FF"/>
        </w:rPr>
      </w:pPr>
    </w:p>
    <w:p w14:paraId="158BB094" w14:textId="77777777" w:rsidR="00D03BD6" w:rsidRDefault="00D03BD6" w:rsidP="002239B5">
      <w:pPr>
        <w:rPr>
          <w:rFonts w:eastAsia="Calibri"/>
          <w:color w:val="0000FF"/>
        </w:rPr>
      </w:pPr>
    </w:p>
    <w:p w14:paraId="2B01EA1F" w14:textId="77777777" w:rsidR="00D03BD6" w:rsidRDefault="00D03BD6" w:rsidP="002239B5">
      <w:pPr>
        <w:rPr>
          <w:rFonts w:eastAsia="Calibri"/>
          <w:color w:val="0000FF"/>
        </w:rPr>
      </w:pPr>
    </w:p>
    <w:p w14:paraId="037F5E43" w14:textId="77777777" w:rsidR="00D03BD6" w:rsidRDefault="00D03BD6" w:rsidP="002239B5">
      <w:pPr>
        <w:rPr>
          <w:rFonts w:eastAsia="Calibri"/>
          <w:color w:val="0000FF"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D03BD6" w:rsidRPr="00D03BD6" w14:paraId="0CC5E49A" w14:textId="77777777" w:rsidTr="00D03BD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8BA981" w14:textId="77777777" w:rsidR="00D03BD6" w:rsidRPr="00B472C5" w:rsidRDefault="00D03BD6" w:rsidP="00D03BD6">
            <w:pPr>
              <w:rPr>
                <w:b/>
                <w:bCs/>
                <w:color w:val="00B050"/>
              </w:rPr>
            </w:pPr>
            <w:r w:rsidRPr="00B472C5">
              <w:rPr>
                <w:b/>
                <w:bCs/>
                <w:color w:val="00B050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F283AC" w14:textId="1E19E78B" w:rsidR="00D03BD6" w:rsidRPr="00B472C5" w:rsidRDefault="00D03BD6" w:rsidP="00D03BD6">
            <w:pPr>
              <w:pStyle w:val="Heading1"/>
              <w:rPr>
                <w:rFonts w:cs="Tahoma"/>
                <w:color w:val="00B050"/>
                <w:sz w:val="20"/>
                <w:szCs w:val="20"/>
                <w:lang w:val="en-US" w:eastAsia="en-US"/>
              </w:rPr>
            </w:pPr>
            <w:bookmarkStart w:id="33" w:name="_Toc17464914"/>
            <w:r w:rsidRPr="00B472C5">
              <w:rPr>
                <w:rFonts w:cs="Tahoma"/>
                <w:color w:val="00B050"/>
                <w:sz w:val="20"/>
                <w:szCs w:val="20"/>
                <w:lang w:val="en-US" w:eastAsia="en-US"/>
              </w:rPr>
              <w:t>Profit and Loss Item</w:t>
            </w:r>
            <w:bookmarkEnd w:id="3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B20DBE" w14:textId="77777777" w:rsidR="00D03BD6" w:rsidRPr="00D03BD6" w:rsidRDefault="00D03BD6" w:rsidP="00D03BD6">
            <w:pPr>
              <w:rPr>
                <w:b/>
                <w:bCs/>
                <w:i/>
                <w:iCs/>
                <w:color w:val="595959" w:themeColor="text1" w:themeTint="A6"/>
                <w:highlight w:val="yellow"/>
              </w:rPr>
            </w:pPr>
          </w:p>
        </w:tc>
      </w:tr>
    </w:tbl>
    <w:p w14:paraId="1EDFB2BA" w14:textId="77777777" w:rsidR="00D03BD6" w:rsidRPr="00D03BD6" w:rsidRDefault="00D03BD6" w:rsidP="00D03BD6">
      <w:pPr>
        <w:rPr>
          <w:color w:val="595959" w:themeColor="text1" w:themeTint="A6"/>
          <w:highlight w:val="yellow"/>
        </w:rPr>
      </w:pPr>
    </w:p>
    <w:tbl>
      <w:tblPr>
        <w:tblW w:w="1431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11"/>
        <w:gridCol w:w="229"/>
        <w:gridCol w:w="41"/>
        <w:gridCol w:w="229"/>
        <w:gridCol w:w="41"/>
        <w:gridCol w:w="229"/>
        <w:gridCol w:w="41"/>
        <w:gridCol w:w="220"/>
        <w:gridCol w:w="9"/>
        <w:gridCol w:w="39"/>
        <w:gridCol w:w="16"/>
        <w:gridCol w:w="254"/>
        <w:gridCol w:w="3960"/>
        <w:gridCol w:w="7290"/>
        <w:gridCol w:w="900"/>
      </w:tblGrid>
      <w:tr w:rsidR="00D03BD6" w:rsidRPr="00050950" w14:paraId="7D19C452" w14:textId="77777777" w:rsidTr="00D03BD6">
        <w:trPr>
          <w:cantSplit/>
          <w:trHeight w:val="270"/>
          <w:tblHeader/>
        </w:trPr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2C5E70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B472C5">
              <w:rPr>
                <w:b/>
                <w:bCs/>
                <w:color w:val="00B050"/>
              </w:rPr>
              <w:t>Code</w:t>
            </w:r>
          </w:p>
        </w:tc>
        <w:tc>
          <w:tcPr>
            <w:tcW w:w="53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D3D8F4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B472C5">
              <w:rPr>
                <w:b/>
                <w:bCs/>
                <w:color w:val="00B050"/>
              </w:rPr>
              <w:t>Value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DAD669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B472C5">
              <w:rPr>
                <w:b/>
                <w:bCs/>
                <w:color w:val="00B050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04473C3" w14:textId="1DD12A3D" w:rsidR="00D03BD6" w:rsidRPr="00B472C5" w:rsidRDefault="00D03BD6" w:rsidP="00D03BD6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B472C5">
              <w:rPr>
                <w:b/>
                <w:bCs/>
                <w:color w:val="00B050"/>
              </w:rPr>
              <w:t>V_PLF</w:t>
            </w:r>
          </w:p>
        </w:tc>
      </w:tr>
      <w:tr w:rsidR="00D03BD6" w:rsidRPr="00050950" w14:paraId="12FAAD7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8D7E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920250</w:t>
            </w:r>
          </w:p>
        </w:tc>
        <w:tc>
          <w:tcPr>
            <w:tcW w:w="1260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14:paraId="2F4409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งบ</w:t>
            </w:r>
            <w:r w:rsidRPr="00B472C5">
              <w:rPr>
                <w:color w:val="00B050"/>
                <w:cs/>
                <w:lang w:val="en-GB"/>
              </w:rPr>
              <w:t>กำไรขาดทุนเบ็ดเสร็จ (</w:t>
            </w:r>
            <w:r w:rsidRPr="00B472C5">
              <w:rPr>
                <w:color w:val="00B050"/>
                <w:lang w:val="en-GB"/>
              </w:rPr>
              <w:t>Comprehensive Income Statement</w:t>
            </w:r>
            <w:r w:rsidRPr="00B472C5">
              <w:rPr>
                <w:color w:val="00B050"/>
                <w:cs/>
                <w:lang w:val="en-GB"/>
              </w:rPr>
              <w:t>)</w:t>
            </w:r>
            <w:r w:rsidRPr="00B472C5">
              <w:rPr>
                <w:color w:val="00B050"/>
                <w:cs/>
              </w:rPr>
              <w:t xml:space="preserve"> เฉพาะธนาคารพาณิชย์ บริษัทเงินทุน บริษัทเครดิตฟองซิเอร์กลุ่มธุรกิจทางการเงินและ</w:t>
            </w:r>
            <w:r w:rsidRPr="00B472C5">
              <w:rPr>
                <w:color w:val="00B050"/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14:paraId="60360214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1F1588D" w14:textId="77777777" w:rsidTr="00D03BD6">
        <w:trPr>
          <w:trHeight w:val="19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DE16F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2395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E7A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1E66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B472C5">
              <w:rPr>
                <w:b/>
                <w:color w:val="00B050"/>
                <w:cs/>
              </w:rPr>
              <w:t>ลงทุน</w:t>
            </w:r>
            <w:r w:rsidRPr="00B472C5">
              <w:rPr>
                <w:color w:val="00B050"/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</w:t>
            </w:r>
            <w:proofErr w:type="spellStart"/>
            <w:r w:rsidRPr="00B472C5">
              <w:rPr>
                <w:color w:val="00B050"/>
                <w:cs/>
              </w:rPr>
              <w:t>ริอะฮ์</w:t>
            </w:r>
            <w:proofErr w:type="spellEnd"/>
            <w:r w:rsidRPr="00B472C5">
              <w:rPr>
                <w:color w:val="00B050"/>
                <w:cs/>
              </w:rPr>
              <w:t xml:space="preserve"> (</w:t>
            </w:r>
            <w:proofErr w:type="spellStart"/>
            <w:r w:rsidRPr="00B472C5">
              <w:rPr>
                <w:color w:val="00B050"/>
              </w:rPr>
              <w:t>Shariah</w:t>
            </w:r>
            <w:proofErr w:type="spellEnd"/>
            <w:r w:rsidRPr="00B472C5">
              <w:rPr>
                <w:color w:val="00B050"/>
                <w:cs/>
              </w:rPr>
              <w:t xml:space="preserve">) </w:t>
            </w:r>
          </w:p>
          <w:p w14:paraId="5753F811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(</w:t>
            </w:r>
            <w:r w:rsidRPr="00B472C5">
              <w:rPr>
                <w:color w:val="00B050"/>
              </w:rPr>
              <w:t>Hedged items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08C4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2063F2A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F09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258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AEA4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D936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1.1 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1D33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60172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FB7E49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61BE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DA9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B990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EDC4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C7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31F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B472C5">
              <w:rPr>
                <w:color w:val="00B050"/>
              </w:rPr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8829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3FFA71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C9D5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E6B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FCF3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17C2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1AD7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B8A3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</w:t>
            </w:r>
            <w:r w:rsidRPr="00B472C5">
              <w:rPr>
                <w:color w:val="00B050"/>
                <w:cs/>
              </w:rPr>
              <w:lastRenderedPageBreak/>
              <w:t>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B472C5">
              <w:rPr>
                <w:color w:val="00B050"/>
              </w:rPr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21D0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9C7DB3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BA4E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374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B55E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EF8A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C20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69B1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</w:t>
            </w:r>
            <w:r w:rsidRPr="00B472C5">
              <w:rPr>
                <w:color w:val="00B050"/>
              </w:rPr>
              <w:t>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85F2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99DC64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3100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F16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FB6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145B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12E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2BAC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735C0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B9AAA1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CBFD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A16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F58C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15CA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D76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F12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8073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F37B01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7D1D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1F1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FC623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5100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84E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0E2D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F4FA6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753539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6A43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828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F886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4FE8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3B5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7</w:t>
            </w:r>
            <w:r w:rsidRPr="00B472C5">
              <w:rPr>
                <w:color w:val="00B050"/>
                <w:cs/>
              </w:rPr>
              <w:t xml:space="preserve"> เงินให้สินเชื่ออื่น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9F04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7A491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05948F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B9DB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270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2182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9423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2591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</w:t>
            </w:r>
            <w:r w:rsidRPr="00B472C5">
              <w:rPr>
                <w:b/>
                <w:bCs/>
                <w:color w:val="00B050"/>
                <w:cs/>
              </w:rPr>
              <w:t xml:space="preserve">  </w:t>
            </w:r>
            <w:r w:rsidRPr="00B472C5">
              <w:rPr>
                <w:color w:val="00B050"/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71F51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EAE838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50B3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920254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E31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C0F4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EB903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5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1.2.1 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7CA0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และผลประโยชน์อื่นใดที่ได้รับจากเงินฝาก  บัตรเงินฝาก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789CF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09C094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F85D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536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9C47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B22DF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57C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เงินให้สินเชื่อ (ไม่รวมธุรกรรมตลาดซื้อคืน)</w:t>
            </w:r>
          </w:p>
          <w:p w14:paraId="64BA3D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8300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684A9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F9DA51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1BF5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39F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F9BD0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D5DCC8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CE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C3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1339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D7E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328598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D308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4F4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41E6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2C7E7F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DB14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63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1.2.2.2 เงินให้สินเชื่อตามหลัก </w:t>
            </w:r>
            <w:r w:rsidRPr="00B472C5">
              <w:rPr>
                <w:color w:val="00B050"/>
              </w:rPr>
              <w:t>Risk &amp; Reward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A24C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61ACA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0BF201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0077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2A2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329D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55B3C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9DE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FC9A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ดอกเบี้ยจากการให้กู้ยืมตามธุรกรรมซื้อคืนเอกชน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FC90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199476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3F5F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185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D979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254B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DB12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7110A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489E38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558F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CA5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0712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9A8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1.4 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63C9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</w:t>
            </w:r>
            <w:r w:rsidRPr="00B472C5">
              <w:rPr>
                <w:b/>
                <w:color w:val="00B050"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B472C5">
              <w:rPr>
                <w:color w:val="00B050"/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B472C5">
              <w:rPr>
                <w:b/>
                <w:color w:val="00B050"/>
                <w:cs/>
              </w:rPr>
              <w:t>ที่มีวัตถุประสงค์เพื่อค้า เผื่อขาย</w:t>
            </w:r>
            <w:r w:rsidRPr="00B472C5">
              <w:rPr>
                <w:color w:val="00B050"/>
                <w:cs/>
              </w:rPr>
              <w:t>และ</w:t>
            </w:r>
            <w:r w:rsidRPr="00B472C5">
              <w:rPr>
                <w:b/>
                <w:color w:val="00B050"/>
                <w:cs/>
              </w:rPr>
              <w:t>ที่จะถือจนครบกำหนด</w:t>
            </w:r>
            <w:r w:rsidRPr="00B472C5">
              <w:rPr>
                <w:color w:val="00B050"/>
                <w:cs/>
              </w:rPr>
              <w:t xml:space="preserve"> รวมถึง</w:t>
            </w:r>
            <w:r w:rsidRPr="00B472C5">
              <w:rPr>
                <w:color w:val="00B050"/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2AFAA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CEC7ED4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EA72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920259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99A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E86C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8EA27A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C15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1.4.1 เงินลงทุนเพื่อค้า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D116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cyan"/>
                <w:cs/>
              </w:rPr>
            </w:pPr>
            <w:r w:rsidRPr="00B472C5">
              <w:rPr>
                <w:b/>
                <w:color w:val="00B050"/>
                <w:cs/>
              </w:rPr>
              <w:t xml:space="preserve">ดอกเบี้ยจากการลงทุนเพื่อค้า </w:t>
            </w:r>
            <w:r w:rsidRPr="00B472C5">
              <w:rPr>
                <w:color w:val="00B050"/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697CFB" w14:textId="77777777" w:rsidR="00D03BD6" w:rsidRPr="00BF7BB9" w:rsidRDefault="00D03BD6" w:rsidP="00D03BD6">
            <w:pPr>
              <w:spacing w:before="120" w:line="360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D03BD6" w:rsidRPr="00050950" w14:paraId="2019F68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CA56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5B0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68EF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B393EE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06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1.4.2 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F4AB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b/>
                <w:color w:val="00B050"/>
                <w:cs/>
              </w:rPr>
              <w:t>ดอกเบี้ยจากการลงทุนเผื่อขาย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7F334" w14:textId="77777777" w:rsidR="00D03BD6" w:rsidRPr="00BF7BB9" w:rsidRDefault="00D03BD6" w:rsidP="00D03BD6">
            <w:pPr>
              <w:spacing w:before="120" w:line="360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D03BD6" w:rsidRPr="00050950" w14:paraId="4A820FE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1323F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41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E70B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F2480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827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1.4.3 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B613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b/>
                <w:color w:val="00B050"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07DAD" w14:textId="77777777" w:rsidR="00D03BD6" w:rsidRPr="00BF7BB9" w:rsidRDefault="00D03BD6" w:rsidP="00D03BD6">
            <w:pPr>
              <w:spacing w:before="120" w:line="360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D03BD6" w:rsidRPr="00050950" w14:paraId="5FFFD6D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A97B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18C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A4D4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6B38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cyan"/>
                <w:cs/>
              </w:rPr>
            </w:pPr>
            <w:r w:rsidRPr="00B472C5">
              <w:rPr>
                <w:color w:val="00B050"/>
                <w:cs/>
              </w:rPr>
              <w:t>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6EF4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cyan"/>
                <w:cs/>
              </w:rPr>
            </w:pPr>
            <w:r w:rsidRPr="00B472C5">
              <w:rPr>
                <w:color w:val="00B050"/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A6BF2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ECE6FD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E0EA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A34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D12C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A1DF02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ดอกเบี้ยและส่วนลดที่จ่ายให้แก่ผู้ฝากเงินประเภทต่าง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</w:t>
            </w:r>
            <w:proofErr w:type="spellStart"/>
            <w:r w:rsidRPr="00B472C5">
              <w:rPr>
                <w:color w:val="00B050"/>
                <w:cs/>
              </w:rPr>
              <w:t>ริอะฮ์</w:t>
            </w:r>
            <w:proofErr w:type="spellEnd"/>
            <w:r w:rsidRPr="00B472C5">
              <w:rPr>
                <w:color w:val="00B050"/>
                <w:cs/>
              </w:rPr>
              <w:t xml:space="preserve"> (</w:t>
            </w:r>
            <w:proofErr w:type="spellStart"/>
            <w:r w:rsidRPr="00B472C5">
              <w:rPr>
                <w:color w:val="00B050"/>
              </w:rPr>
              <w:t>Shariah</w:t>
            </w:r>
            <w:proofErr w:type="spellEnd"/>
            <w:r w:rsidRPr="00B472C5">
              <w:rPr>
                <w:color w:val="00B050"/>
                <w:cs/>
              </w:rPr>
              <w:t xml:space="preserve">)  </w:t>
            </w:r>
          </w:p>
          <w:p w14:paraId="48F53D59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(</w:t>
            </w:r>
            <w:r w:rsidRPr="00B472C5">
              <w:rPr>
                <w:color w:val="00B050"/>
              </w:rPr>
              <w:t>Hedged items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F4F36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6AC9D243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A608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C5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4F63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B60C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0ED7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648186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54EB578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9433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2C3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914F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A1B0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FC90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</w:t>
            </w:r>
            <w:r w:rsidRPr="00B472C5">
              <w:rPr>
                <w:color w:val="00B050"/>
                <w:cs/>
              </w:rPr>
              <w:lastRenderedPageBreak/>
              <w:t>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48862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45183EC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94A4B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0F9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E89E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07BA7E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77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2.2.1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2588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ดอกเบี้ยที่จ่ายให้แก่ผู้ฝากเงินประเภทต่างๆ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FF905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DB6CAD3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3EA3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759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12C69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59B737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6BE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2.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6587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472C5">
              <w:rPr>
                <w:color w:val="00B050"/>
                <w:cs/>
                <w:lang w:val="en-GB"/>
              </w:rPr>
              <w:t>ทั้งนี้ ไม่รวม</w:t>
            </w:r>
            <w:r w:rsidRPr="00B472C5">
              <w:rPr>
                <w:color w:val="00B050"/>
                <w:cs/>
              </w:rPr>
              <w:t xml:space="preserve"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1EF55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9995001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8FA7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9DC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3B9C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EEF5BA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588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2.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A16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ดอกเบี้ยที่จ่ายจากการกู้ยืมตามธุรกรรมซื้อคืนเอกชน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7B57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9E6D1DF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9EEB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FCB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FA65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07F97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FA11B6" w14:textId="77777777" w:rsidR="00D03BD6" w:rsidRPr="00B472C5" w:rsidRDefault="00D03BD6" w:rsidP="00D03BD6">
            <w:pPr>
              <w:spacing w:before="120" w:line="360" w:lineRule="auto"/>
              <w:rPr>
                <w:strike/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เรื่องการจัดทำและการประกาศงบการเงินของสถาบันการเงินฯ”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8657E6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961E383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0E1E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74B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16D9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AE1F87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C75A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2.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.1 ตั๋วแลกเงิน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3977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79DE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3C934E4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61F9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920271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7EA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BDA4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5D9B9F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EE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2.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.2 หุ้นกู้และตราสารหนี้อื่น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FBC9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B472C5">
              <w:rPr>
                <w:b/>
                <w:bCs/>
                <w:color w:val="00B050"/>
                <w:cs/>
              </w:rPr>
              <w:t xml:space="preserve"> </w:t>
            </w:r>
            <w:r w:rsidRPr="00B472C5">
              <w:rPr>
                <w:color w:val="00B050"/>
                <w:cs/>
              </w:rPr>
              <w:t>และที่ไม่กำหนดให้แสดงด้วยมูลค่ายุติธรรม (</w:t>
            </w:r>
            <w:r w:rsidRPr="00B472C5">
              <w:rPr>
                <w:color w:val="00B050"/>
              </w:rPr>
              <w:t>Fair Value Option</w:t>
            </w:r>
            <w:r w:rsidRPr="00B472C5">
              <w:rPr>
                <w:color w:val="00B050"/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4A41F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E87888B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FF03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0A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75EA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A6D2A4" w14:textId="77777777" w:rsidR="00D03BD6" w:rsidRPr="00B472C5" w:rsidRDefault="00D03BD6" w:rsidP="00D03BD6">
            <w:pPr>
              <w:spacing w:before="120" w:line="360" w:lineRule="auto"/>
              <w:ind w:firstLine="49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B99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2.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.3 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78E8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12C2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2265418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8E15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AD5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5E8C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787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  <w:lang w:val="en-GB"/>
              </w:rPr>
            </w:pPr>
            <w:r w:rsidRPr="00B472C5">
              <w:rPr>
                <w:color w:val="00B050"/>
                <w:cs/>
                <w:lang w:val="en-GB"/>
              </w:rPr>
              <w:t>2.4 ค่าธรรมเนียมในการกู้ยืมเงิน</w:t>
            </w:r>
            <w:r w:rsidRPr="00B472C5">
              <w:rPr>
                <w:color w:val="00B050"/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62D7A2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7593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9BD69E6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74F0A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087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A808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604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2.5 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C2AC5E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5B75A8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FB25C7F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947B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69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96C9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cyan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A71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cyan"/>
                <w:cs/>
              </w:rPr>
            </w:pPr>
            <w:r w:rsidRPr="00B472C5">
              <w:rPr>
                <w:color w:val="00B050"/>
                <w:cs/>
              </w:rPr>
              <w:t>2.6 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63F7F3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highlight w:val="cyan"/>
                <w:cs/>
              </w:rPr>
            </w:pPr>
            <w:r w:rsidRPr="00B472C5">
              <w:rPr>
                <w:color w:val="00B050"/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2C1F1C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0234A49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9360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941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8A42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382738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643C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618E906F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E588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5542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3990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7199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การรับรอง รับ</w:t>
            </w:r>
            <w:proofErr w:type="spellStart"/>
            <w:r w:rsidRPr="00B472C5">
              <w:rPr>
                <w:color w:val="00B050"/>
                <w:cs/>
              </w:rPr>
              <w:t>อาวัล</w:t>
            </w:r>
            <w:proofErr w:type="spellEnd"/>
            <w:r w:rsidRPr="00B472C5">
              <w:rPr>
                <w:color w:val="00B050"/>
                <w:cs/>
              </w:rPr>
              <w:t xml:space="preserve">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21F3A4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 และบริการจากการรับรองตั๋วเงิน รับ</w:t>
            </w:r>
            <w:proofErr w:type="spellStart"/>
            <w:r w:rsidRPr="00B472C5">
              <w:rPr>
                <w:color w:val="00B050"/>
                <w:cs/>
              </w:rPr>
              <w:t>อาวัล</w:t>
            </w:r>
            <w:proofErr w:type="spellEnd"/>
            <w:r w:rsidRPr="00B472C5">
              <w:rPr>
                <w:color w:val="00B050"/>
                <w:cs/>
              </w:rPr>
              <w:t>ตั๋วเงิน การค้ำประกันการกู้ยืมเงิน การ</w:t>
            </w:r>
            <w:r w:rsidRPr="00B472C5">
              <w:rPr>
                <w:color w:val="00B050"/>
                <w:spacing w:val="-4"/>
                <w:cs/>
              </w:rPr>
              <w:t>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  <w:r w:rsidRPr="00B472C5">
              <w:rPr>
                <w:color w:val="00B050"/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CC5D8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4BBB68F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47EF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920278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CFB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1818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66E8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บัตรเครดิต </w:t>
            </w:r>
          </w:p>
          <w:p w14:paraId="45E3F92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DA2BBA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C6141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9DF08EE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574B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4F5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7E00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F7CF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273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.1 ค่าธรรมเนียมแรกเข้าและรายปี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84F5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B8E968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53746F7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667D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99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30FB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1CDF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0A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5332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B472C5">
              <w:rPr>
                <w:color w:val="00B050"/>
              </w:rPr>
              <w:t>Interchange Fee</w:t>
            </w:r>
            <w:r w:rsidRPr="00B472C5">
              <w:rPr>
                <w:color w:val="00B050"/>
                <w:cs/>
              </w:rPr>
              <w:t xml:space="preserve">) ค่าธรรมเนียมจากการอำนวยความสะดวกในการขายสินค้าทางไปรษณีย์ผ่านบัตรเครดิต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B4769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5E74176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AA5B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4F6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324B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959F6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1E4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6F3C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C697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AABB516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C74B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441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7297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33C9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5B5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 xml:space="preserve"> 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A2CE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CA445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FD92710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4EE8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507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44CC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5D4B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บริการบัตร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145530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ค่าธรรมเนียมในการทำบัตร</w:t>
            </w:r>
            <w:r w:rsidRPr="00B472C5">
              <w:rPr>
                <w:color w:val="00B050"/>
              </w:rPr>
              <w:t xml:space="preserve"> ATM </w:t>
            </w:r>
            <w:r w:rsidRPr="00B472C5">
              <w:rPr>
                <w:color w:val="00B050"/>
                <w:cs/>
              </w:rPr>
              <w:t xml:space="preserve">และบัตรเดบิต  ค่าธรรมเนียมบัตร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B472C5">
              <w:rPr>
                <w:color w:val="00B050"/>
              </w:rPr>
              <w:t xml:space="preserve">Telefax  </w:t>
            </w: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472C5">
              <w:rPr>
                <w:color w:val="00B050"/>
              </w:rPr>
              <w:t xml:space="preserve">Computer Software  </w:t>
            </w:r>
            <w:r w:rsidRPr="00B472C5">
              <w:rPr>
                <w:color w:val="00B050"/>
                <w:cs/>
              </w:rPr>
              <w:t>และ</w:t>
            </w:r>
            <w:r w:rsidRPr="00B472C5">
              <w:rPr>
                <w:color w:val="00B050"/>
              </w:rPr>
              <w:t xml:space="preserve"> Computer Information </w:t>
            </w:r>
            <w:r w:rsidRPr="00B472C5">
              <w:rPr>
                <w:color w:val="00B050"/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14DFC4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0319333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BC67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9FF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ED47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CB31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171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.1 ค่าธรรมเนียมการทำบัตรและรายปี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D7C1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ค่าธรรมเนียมในการทำบัตร</w:t>
            </w:r>
            <w:r w:rsidRPr="00B472C5">
              <w:rPr>
                <w:color w:val="00B050"/>
              </w:rPr>
              <w:t xml:space="preserve"> ATM </w:t>
            </w:r>
            <w:r w:rsidRPr="00B472C5">
              <w:rPr>
                <w:color w:val="00B050"/>
                <w:cs/>
              </w:rPr>
              <w:t xml:space="preserve">และบัตรเดบิต ค่าธรรมเนียมบัตร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16792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8BD3EDF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E8C5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920285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B8F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FCD4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7B0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9FF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บริการฝากถอนเงินสดผ่าน </w:t>
            </w:r>
            <w:r w:rsidRPr="00B472C5">
              <w:rPr>
                <w:color w:val="00B050"/>
              </w:rPr>
              <w:t>ATM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21FE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highlight w:val="yellow"/>
                <w:cs/>
              </w:rPr>
            </w:pPr>
            <w:r w:rsidRPr="00B472C5">
              <w:rPr>
                <w:color w:val="00B050"/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B472C5">
              <w:rPr>
                <w:color w:val="00B050"/>
              </w:rPr>
              <w:t xml:space="preserve"> ATM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CDM </w:t>
            </w:r>
            <w:r w:rsidRPr="00B472C5">
              <w:rPr>
                <w:color w:val="00B050"/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B472C5">
              <w:rPr>
                <w:color w:val="00B050"/>
              </w:rPr>
              <w:t xml:space="preserve"> ATM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CDM </w:t>
            </w:r>
            <w:r w:rsidRPr="00B472C5">
              <w:rPr>
                <w:color w:val="00B050"/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3C0CA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4C81289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21EE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A0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CF2F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5B4D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C1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2723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B472C5">
              <w:rPr>
                <w:color w:val="00B050"/>
              </w:rPr>
              <w:t xml:space="preserve">Telefax  </w:t>
            </w: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472C5">
              <w:rPr>
                <w:color w:val="00B050"/>
              </w:rPr>
              <w:t xml:space="preserve">Computer Software  </w:t>
            </w:r>
            <w:r w:rsidRPr="00B472C5">
              <w:rPr>
                <w:color w:val="00B050"/>
                <w:cs/>
              </w:rPr>
              <w:t>และ</w:t>
            </w:r>
            <w:r w:rsidRPr="00B472C5">
              <w:rPr>
                <w:color w:val="00B050"/>
              </w:rPr>
              <w:t xml:space="preserve"> Computer Information </w:t>
            </w:r>
            <w:r w:rsidRPr="00B472C5">
              <w:rPr>
                <w:color w:val="00B050"/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81849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E395898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7BD3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A1B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9F1B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F5842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DBB0DF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1D39A6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663488EA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0877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BA0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E602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F2B4EA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33B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การโอนเงินมูลค่าสูงผ่านระบบ </w:t>
            </w:r>
            <w:r w:rsidRPr="00B472C5">
              <w:rPr>
                <w:color w:val="00B050"/>
              </w:rPr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D66E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B472C5">
              <w:rPr>
                <w:color w:val="00B050"/>
              </w:rPr>
              <w:t xml:space="preserve"> BAHTNET</w:t>
            </w:r>
            <w:r w:rsidRPr="00B472C5">
              <w:rPr>
                <w:color w:val="00B050"/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B472C5">
              <w:rPr>
                <w:color w:val="00B050"/>
              </w:rPr>
              <w:t xml:space="preserve"> BAHTNET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0B4C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52E9BE8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7569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F195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5B23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5F4F48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129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การโอนเงินผ่านระบบ</w:t>
            </w:r>
            <w:r w:rsidRPr="00B472C5">
              <w:rPr>
                <w:color w:val="00B050"/>
              </w:rPr>
              <w:t xml:space="preserve"> 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5834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B472C5">
              <w:rPr>
                <w:color w:val="00B050"/>
              </w:rPr>
              <w:t xml:space="preserve">ITMX Bulk Payment </w:t>
            </w:r>
            <w:r w:rsidRPr="00B472C5">
              <w:rPr>
                <w:color w:val="00B050"/>
                <w:cs/>
              </w:rPr>
              <w:t xml:space="preserve">(หรือเดิมชื่อระบบ </w:t>
            </w:r>
            <w:r w:rsidRPr="00B472C5">
              <w:rPr>
                <w:color w:val="00B050"/>
              </w:rPr>
              <w:t>SMART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E4DE3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93F7A8D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1FF3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584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4B03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D5A720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46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8CA8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3BE11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57069EB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4D4E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78E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E3F1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F72F7E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5E2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2C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4778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251F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8743FE7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9C44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62E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273A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EB41FE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F80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240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3.4.3.2 เช็คและตั๋วเงินอื่นๆ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74A54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F4F55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D0D6417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C4571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DBC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44C4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353774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D3C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13A4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8EBD9F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7C76433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C58C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5B2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AEA1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6766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 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E144BD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6B916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DBB7A01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5BBE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6D3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A93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5012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 xml:space="preserve"> 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E0F748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B472C5">
              <w:rPr>
                <w:color w:val="00B050"/>
                <w:spacing w:val="-2"/>
              </w:rPr>
              <w:t xml:space="preserve"> Syndicated Loan </w:t>
            </w:r>
            <w:r w:rsidRPr="00B472C5">
              <w:rPr>
                <w:color w:val="00B050"/>
                <w:spacing w:val="-2"/>
                <w:cs/>
              </w:rPr>
              <w:t xml:space="preserve">และ </w:t>
            </w:r>
            <w:r w:rsidRPr="00B472C5">
              <w:rPr>
                <w:color w:val="00B050"/>
                <w:spacing w:val="-2"/>
              </w:rPr>
              <w:t>Participation</w:t>
            </w:r>
            <w:r w:rsidRPr="00B472C5">
              <w:rPr>
                <w:color w:val="00B050"/>
              </w:rPr>
              <w:t xml:space="preserve"> Loans </w:t>
            </w:r>
            <w:r w:rsidRPr="00B472C5">
              <w:rPr>
                <w:color w:val="00B050"/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B6AC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06E58CC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4456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77E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498A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5F33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7</w:t>
            </w:r>
            <w:r w:rsidRPr="00B472C5">
              <w:rPr>
                <w:color w:val="00B050"/>
                <w:cs/>
              </w:rPr>
              <w:t xml:space="preserve"> 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435767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CB66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AED1514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170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9FD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4F55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83F9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8 </w:t>
            </w:r>
            <w:r w:rsidRPr="00B472C5">
              <w:rPr>
                <w:color w:val="00B050"/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BDA72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81C28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30BFC5D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4E85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41BD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8C3A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AB54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9 </w:t>
            </w:r>
            <w:r w:rsidRPr="00B472C5">
              <w:rPr>
                <w:color w:val="00B050"/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6BBD4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ค่าสมุดเช็ค  ค่าธรรมเนียมเช็คของขวัญ  บัตรกำนัล </w:t>
            </w:r>
            <w:r w:rsidRPr="00B472C5">
              <w:rPr>
                <w:color w:val="00B050"/>
              </w:rPr>
              <w:t xml:space="preserve">Cashier's Order </w:t>
            </w:r>
            <w:r w:rsidRPr="00B472C5">
              <w:rPr>
                <w:color w:val="00B050"/>
                <w:cs/>
              </w:rPr>
              <w:t xml:space="preserve">และ </w:t>
            </w:r>
            <w:proofErr w:type="spellStart"/>
            <w:r w:rsidRPr="00B472C5">
              <w:rPr>
                <w:color w:val="00B050"/>
              </w:rPr>
              <w:t>Traveller's</w:t>
            </w:r>
            <w:proofErr w:type="spellEnd"/>
            <w:r w:rsidRPr="00B472C5">
              <w:rPr>
                <w:color w:val="00B050"/>
              </w:rPr>
              <w:t xml:space="preserve"> </w:t>
            </w:r>
            <w:proofErr w:type="spellStart"/>
            <w:r w:rsidRPr="00B472C5">
              <w:rPr>
                <w:color w:val="00B050"/>
              </w:rPr>
              <w:t>Cheque</w:t>
            </w:r>
            <w:proofErr w:type="spellEnd"/>
            <w:r w:rsidRPr="00B472C5">
              <w:rPr>
                <w:color w:val="00B050"/>
              </w:rPr>
              <w:t xml:space="preserve"> </w:t>
            </w:r>
            <w:r w:rsidRPr="00B472C5">
              <w:rPr>
                <w:color w:val="00B050"/>
                <w:cs/>
              </w:rPr>
              <w:br/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08DC8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BE1473F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DD32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7C8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DA64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FD9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4"/>
              </w:rPr>
            </w:pPr>
            <w:r w:rsidRPr="00B472C5">
              <w:rPr>
                <w:color w:val="00B050"/>
                <w:spacing w:val="-4"/>
              </w:rPr>
              <w:t>3</w:t>
            </w:r>
            <w:r w:rsidRPr="00B472C5">
              <w:rPr>
                <w:color w:val="00B050"/>
                <w:spacing w:val="-4"/>
                <w:cs/>
              </w:rPr>
              <w:t>.</w:t>
            </w:r>
            <w:r w:rsidRPr="00B472C5">
              <w:rPr>
                <w:color w:val="00B050"/>
                <w:spacing w:val="-4"/>
              </w:rPr>
              <w:t xml:space="preserve">10 </w:t>
            </w:r>
            <w:r w:rsidRPr="00B472C5">
              <w:rPr>
                <w:color w:val="00B050"/>
                <w:spacing w:val="-4"/>
                <w:cs/>
              </w:rPr>
              <w:t>ค่าธรรมเนียมการออก</w:t>
            </w:r>
            <w:proofErr w:type="spellStart"/>
            <w:r w:rsidRPr="00B472C5">
              <w:rPr>
                <w:color w:val="00B050"/>
                <w:spacing w:val="-4"/>
                <w:cs/>
              </w:rPr>
              <w:t>เล็ตเตอร์ออฟเครคิต</w:t>
            </w:r>
            <w:proofErr w:type="spellEnd"/>
            <w:r w:rsidRPr="00B472C5">
              <w:rPr>
                <w:color w:val="00B050"/>
                <w:spacing w:val="-4"/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95128D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ค่าธรรมเนียมและบริการต่างๆ ที่เรียกเก็บจากการออก</w:t>
            </w:r>
            <w:proofErr w:type="spellStart"/>
            <w:r w:rsidRPr="00B472C5">
              <w:rPr>
                <w:color w:val="00B050"/>
                <w:cs/>
              </w:rPr>
              <w:t>เล็ตเตอร์ออฟ</w:t>
            </w:r>
            <w:proofErr w:type="spellEnd"/>
            <w:r w:rsidRPr="00B472C5">
              <w:rPr>
                <w:color w:val="00B050"/>
                <w:cs/>
              </w:rPr>
              <w:t>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59851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8582B6B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7724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9D9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CD56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5E3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 xml:space="preserve"> 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A78EE8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224FB1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68B1C7D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8673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A0C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61A6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4C4E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9A2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57AA19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spacing w:val="-4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255DC5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67D4455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D0E4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849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CB55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92C9D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7F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06D9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2DBF5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284BDA0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B354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635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4101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E34A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B9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47BF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</w:t>
            </w:r>
            <w:proofErr w:type="spellStart"/>
            <w:r w:rsidRPr="00B472C5">
              <w:rPr>
                <w:color w:val="00B050"/>
                <w:cs/>
              </w:rPr>
              <w:t>บลจ</w:t>
            </w:r>
            <w:proofErr w:type="spellEnd"/>
            <w:r w:rsidRPr="00B472C5">
              <w:rPr>
                <w:color w:val="00B050"/>
                <w:cs/>
              </w:rPr>
              <w:t>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96A6AB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94434F9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6B4B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B16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9C17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B6F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6A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708D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F5517F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9A1E3CD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B12B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99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D360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1B71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F9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 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6B69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AA699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AAD261A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AD2B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558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C732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E51E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12</w:t>
            </w:r>
            <w:r w:rsidRPr="00B472C5">
              <w:rPr>
                <w:color w:val="00B050"/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CD8F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5899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D75E7D9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9B73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0E76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AAE9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CFE0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13</w:t>
            </w:r>
            <w:r w:rsidRPr="00B472C5">
              <w:rPr>
                <w:color w:val="00B050"/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EB4E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01297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BCACA48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4C44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920299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66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17C5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EDDD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14 </w:t>
            </w:r>
            <w:r w:rsidRPr="00B472C5">
              <w:rPr>
                <w:color w:val="00B050"/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4546AF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spacing w:val="-4"/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</w:t>
            </w:r>
            <w:r w:rsidRPr="00B472C5">
              <w:rPr>
                <w:color w:val="00B050"/>
                <w:cs/>
              </w:rPr>
              <w:t xml:space="preserve">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58C0E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8DC43D1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BEF3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B58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A801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54704F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655E37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DA7DA6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2268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438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B590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88728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>และบัตรอิเล็กทรอนิกส์อื่น</w:t>
            </w:r>
          </w:p>
          <w:p w14:paraId="239EBA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  <w:p w14:paraId="1B720E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9BEE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B472C5">
              <w:rPr>
                <w:color w:val="00B050"/>
              </w:rPr>
              <w:t xml:space="preserve">National ITMX </w:t>
            </w:r>
            <w:r w:rsidRPr="00B472C5">
              <w:rPr>
                <w:color w:val="00B050"/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6E83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9D0C57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7284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F54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29FF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434D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E2C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B472C5">
              <w:rPr>
                <w:color w:val="00B050"/>
              </w:rPr>
              <w:t xml:space="preserve">National ITMX  </w:t>
            </w:r>
            <w:r w:rsidRPr="00B472C5">
              <w:rPr>
                <w:color w:val="00B050"/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D9FD2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3BACD9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341D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DF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6FF0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73FF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4.3 ค่าธรรมเนียมและบริการอื่น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2512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6731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0454D0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6EF5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A9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B5E3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 กำไร (ขาดทุน) สุทธิจากธุรกรรมเพื่อค้าและการปริวรรตเงินตราต่างประเทศ</w:t>
            </w:r>
          </w:p>
          <w:p w14:paraId="6FF10A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2751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B472C5">
              <w:rPr>
                <w:color w:val="00B050"/>
                <w:spacing w:val="-6"/>
                <w:cs/>
              </w:rPr>
              <w:t>กำไร (ขาดทุน) ที่เกิดจาก การวัดมูลค่ายุติธรรม (</w:t>
            </w:r>
            <w:r w:rsidRPr="00B472C5">
              <w:rPr>
                <w:color w:val="00B050"/>
                <w:spacing w:val="-6"/>
              </w:rPr>
              <w:t xml:space="preserve">Mark to Market </w:t>
            </w:r>
            <w:r w:rsidRPr="00B472C5">
              <w:rPr>
                <w:color w:val="00B050"/>
                <w:spacing w:val="-6"/>
                <w:cs/>
              </w:rPr>
              <w:t>)  ของตราสารอนุพันธ์เพื่อการค้าและอนุพันธ์แฝงที่แยกออกจากสัญญาหลัก</w:t>
            </w:r>
            <w:r w:rsidRPr="00B472C5">
              <w:rPr>
                <w:color w:val="00B050"/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</w:t>
            </w:r>
            <w:r w:rsidRPr="00B472C5">
              <w:rPr>
                <w:color w:val="00B050"/>
                <w:cs/>
              </w:rPr>
              <w:lastRenderedPageBreak/>
              <w:t>แลกเปลี่ยน</w:t>
            </w:r>
            <w:r w:rsidRPr="00B472C5">
              <w:rPr>
                <w:color w:val="00B050"/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B472C5">
              <w:rPr>
                <w:color w:val="00B050"/>
                <w:cs/>
              </w:rPr>
              <w:t xml:space="preserve"> </w:t>
            </w:r>
            <w:r w:rsidRPr="00B472C5">
              <w:rPr>
                <w:color w:val="00B050"/>
                <w:spacing w:val="-4"/>
                <w:cs/>
              </w:rPr>
              <w:t xml:space="preserve"> และหนี้สินที่เป็นเงินตราต่างประเทศเป็นเงินบาท  </w:t>
            </w:r>
            <w:r w:rsidRPr="00B472C5">
              <w:rPr>
                <w:color w:val="00B050"/>
                <w:cs/>
              </w:rPr>
              <w:t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EB728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5CF822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A7E0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FFC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A3531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B77F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.1 กำไร (ขาดทุน) จากการประเมินมูลค่ายุติธรรม</w:t>
            </w:r>
          </w:p>
          <w:p w14:paraId="79AE01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6D66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B472C5">
              <w:rPr>
                <w:color w:val="00B050"/>
                <w:highlight w:val="yellow"/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1ED75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837466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C144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01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3FE6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84F81F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8D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5.1.1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65E1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7EBA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29DB76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937D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20D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DC56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002FEB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B38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5.1.2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F11A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8D87C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A50146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91BE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2B3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632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F4893D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1DE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5.1.3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F8F9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381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84FA1D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2BBC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89D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304B7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CC0C6B" w14:textId="77777777" w:rsidR="00D03BD6" w:rsidRPr="00B472C5" w:rsidRDefault="00D03BD6" w:rsidP="00D03BD6">
            <w:pPr>
              <w:spacing w:before="120" w:line="360" w:lineRule="auto"/>
              <w:ind w:firstLine="567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525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8948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B7D41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7F921B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006CC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9E6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EED4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69F99B" w14:textId="77777777" w:rsidR="00D03BD6" w:rsidRPr="00B472C5" w:rsidRDefault="00D03BD6" w:rsidP="00D03BD6">
            <w:pPr>
              <w:spacing w:before="120" w:line="360" w:lineRule="auto"/>
              <w:ind w:firstLine="567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993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5.1.5 ตราสารอนุพันธ์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C776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0B063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B54AF6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9093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70E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B572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EF78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5.2 กำไร (ขาดทุน) จากการโอนเปลี่ยนประเภทเงินลงทุน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FA0F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229FA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249EB7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D8D5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5A7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6702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C5B2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5.3 กำไร (ขาดทุน) จากการจำหน่าย</w:t>
            </w:r>
          </w:p>
          <w:p w14:paraId="764D02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  <w:lang w:val="en-GB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6F72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(ขาดทุน) ที่รับรู้จากการตกลงชำระราคาตราสารอนุพันธ์เพื่อการค้า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B9D2E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7A7355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DA1F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875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855A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ECED8F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26E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5.3.1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3E9E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669D2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81779D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B5F4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2EE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6A48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71C2D4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BED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5.3.2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D966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037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5529D5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AB15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DB0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0D8B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B6AB21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BFD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5.3.3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FEA2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D0416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B5F6EF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B6B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07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8D3E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996CB2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BCD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468C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7608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62A7B6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2FE1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B7C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3BCE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20730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AB1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5.3.5 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2625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71A09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334498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6CBE6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5286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F85C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FD6F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.4 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B10E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915345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E1D742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F549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C6F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DC0C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CCE442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88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5.4.1 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5400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9A4A3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2B4ED1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FDA5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9CF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3643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B6C6B9" w14:textId="77777777" w:rsidR="00D03BD6" w:rsidRPr="00B472C5" w:rsidRDefault="00D03BD6" w:rsidP="00D03BD6">
            <w:pPr>
              <w:spacing w:before="120" w:line="360" w:lineRule="auto"/>
              <w:ind w:firstLine="315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29D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5.4.2 กำไร (ขาดทุน) จากการแปลงค่า</w:t>
            </w:r>
            <w:r w:rsidRPr="00B472C5">
              <w:rPr>
                <w:color w:val="00B050"/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B472C5">
              <w:rPr>
                <w:color w:val="00B050"/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864A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E1423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58999F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1F7D0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C82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147C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F3DC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59E1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1FA1AA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531844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AE4CD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ADCB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583F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7807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E40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978E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8E83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84ABF4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7ADAD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843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42BD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6ABB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2A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194E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DA11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E4D3CC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6982C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E1D0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F8137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0F76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A39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AB49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2A640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82F308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22B5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F5E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317A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42FE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 (</w:t>
            </w:r>
            <w:r w:rsidRPr="00B472C5">
              <w:rPr>
                <w:color w:val="00B050"/>
              </w:rPr>
              <w:t>Fair Value Option</w:t>
            </w:r>
            <w:r w:rsidRPr="00B472C5">
              <w:rPr>
                <w:color w:val="00B050"/>
                <w:cs/>
              </w:rPr>
              <w:t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25620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D7D81F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65F1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9E88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89AD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E509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AEE7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B472C5">
              <w:rPr>
                <w:color w:val="00B050"/>
                <w:cs/>
              </w:rPr>
              <w:t xml:space="preserve"> </w:t>
            </w:r>
            <w:r w:rsidRPr="00B472C5">
              <w:rPr>
                <w:color w:val="00B050"/>
                <w:spacing w:val="-4"/>
                <w:cs/>
              </w:rPr>
              <w:t>(</w:t>
            </w:r>
            <w:r w:rsidRPr="00B472C5">
              <w:rPr>
                <w:color w:val="00B050"/>
                <w:spacing w:val="-4"/>
              </w:rPr>
              <w:t>Fair Value Option</w:t>
            </w:r>
            <w:r w:rsidRPr="00B472C5">
              <w:rPr>
                <w:color w:val="00B050"/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B472C5">
              <w:rPr>
                <w:color w:val="00B050"/>
                <w:cs/>
              </w:rPr>
              <w:t>ค่าใช้จ่ายดอกเบี้ย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F462C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B8F2B1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2EFEA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7D1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08F7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0BA2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กำไร (ขาดทุน) สุทธิจากการไถ่ถอนหรือโอนเปลี่ยนมือ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60EB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 (</w:t>
            </w:r>
            <w:r w:rsidRPr="00B472C5">
              <w:rPr>
                <w:color w:val="00B050"/>
              </w:rPr>
              <w:t>Fair Value Option</w:t>
            </w:r>
            <w:r w:rsidRPr="00B472C5">
              <w:rPr>
                <w:color w:val="00B050"/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2B274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F4903D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749F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12B1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3887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7</w:t>
            </w:r>
            <w:r w:rsidRPr="00B472C5">
              <w:rPr>
                <w:color w:val="00B050"/>
                <w:cs/>
              </w:rPr>
              <w:t>. กำไร (ขาดทุน) สุทธิจากเงินลงทุน</w:t>
            </w:r>
          </w:p>
          <w:p w14:paraId="3EBDD6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D60F19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0DECFB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21CA96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F24505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A737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9C8AF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8C5E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7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 (ขาดทุน) จากการขายเงินลงทุน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03F2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7B0286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E3F008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09C46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704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9730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345E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D30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E9DF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7FDC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D8D440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204EB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A81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D273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9F38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68D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66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7.1.1.1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04FB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9256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F1A981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F7879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631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0A93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D40C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65C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79E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7.1.1.2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DD58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9D358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7DD43F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A4978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B18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FEE7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0060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46D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EC4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7.1.1.3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94F8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6B9A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2403BF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851D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1DE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4474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43C4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A60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F21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CDB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985D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45D0DE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549F2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5CFB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2F67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B174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5C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992F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CEDF66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4F1355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0EBBD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801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F4A0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B22B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E93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E9A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7.1.2.1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2DCC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6922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3244CA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98F2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756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C15B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D23A2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D24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06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7.1.2.2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2C63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32E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02C7FA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29E1A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E48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1E72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25CE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5A3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A6B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D958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4584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D6EC45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6290E6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EA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B347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CE16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061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1C9D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C6671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0E3876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6EFA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514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C37F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CC1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78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D107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BCDD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9F50E0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CDF7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9F79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09C3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EE6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FB2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22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7.1.4.1 เงินลงทุนในบริษัทย่อย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7463A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1EE2F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DC4411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927A0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16B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8E99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E1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0BB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34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7.1.4.2 เงินลงทุนในบริษัทร่วม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A711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6AF6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764CF5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D02B3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FF7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B7C9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60D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7.2 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F71E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4D7A97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718D06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7235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728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3542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87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08F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85D94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ECB64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1A8C97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00C6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291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582F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FB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337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7.2.2 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1D38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1085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CB74D3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345C3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44D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0A9A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DB9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B2E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2"/>
                <w:cs/>
              </w:rPr>
            </w:pPr>
            <w:r w:rsidRPr="00B472C5">
              <w:rPr>
                <w:color w:val="00B050"/>
                <w:spacing w:val="-2"/>
              </w:rPr>
              <w:t>7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3</w:t>
            </w:r>
            <w:r w:rsidRPr="00B472C5">
              <w:rPr>
                <w:color w:val="00B050"/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DA32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D35D8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98D14A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F1952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EE2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C229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8. ส่วนแบ่งกำไร (ขาดทุน) จากเงินลงทุนตามวิธีส่วนได้เสีย[เฉพาะ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</w:t>
            </w:r>
          </w:p>
          <w:p w14:paraId="1ABDDC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CA8A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B472C5">
              <w:rPr>
                <w:color w:val="00B050"/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B472C5">
              <w:rPr>
                <w:color w:val="00B050"/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A52F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539563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45D86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B71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FAE6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9. รายได้จากการดำเนินงานอื่น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7C5784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187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65A77" w14:textId="77777777" w:rsidR="00D03BD6" w:rsidRPr="00050950" w:rsidRDefault="00D03BD6" w:rsidP="00D03BD6">
            <w:pPr>
              <w:tabs>
                <w:tab w:val="left" w:pos="1080"/>
                <w:tab w:val="left" w:pos="1800"/>
              </w:tabs>
              <w:spacing w:before="120" w:line="360" w:lineRule="auto"/>
              <w:ind w:right="-187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3B8C00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ACF3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813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BEC3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60CF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กำไรจากการขายทรัพย์สินรอการขายและสินทรัพย์อื่น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1425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54C9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DFDE62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1ABE3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A25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8CE4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2251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9.2 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98BE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B472C5">
              <w:rPr>
                <w:color w:val="00B050"/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2BF3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A076D0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0739C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95E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C7DF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C8C9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9.3 รายได้จากเงินปันผล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F3FB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2230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4B9165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9EDC3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81A7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1100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486D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.4 รายได้จากการดำเนินงานอื่น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91D6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DF2D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B0F69A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B9BD0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7A6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BA4A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 xml:space="preserve">. ค่าใช้จ่ายในการดำเนินงานอื่น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B7AA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1B22B5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EE0F7A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953F0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C7B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25B5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B53A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 xml:space="preserve">.1 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9315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C9BC8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940DDE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78ADE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8CD9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144A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6830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13CF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8B768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A6AE0C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88CFD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2D5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1DC6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4ACE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 xml:space="preserve">.3  ค่าใช้จ่ายเกี่ยวกับอาคารสถานที่และอุปกรณ์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EB801D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</w:t>
            </w:r>
            <w:r w:rsidRPr="00B472C5">
              <w:rPr>
                <w:color w:val="00B050"/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B472C5">
              <w:rPr>
                <w:color w:val="00B050"/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</w:t>
            </w:r>
          </w:p>
          <w:p w14:paraId="1E9E8784" w14:textId="77777777" w:rsidR="00D03BD6" w:rsidRPr="00B472C5" w:rsidRDefault="00D03BD6" w:rsidP="00D03BD6">
            <w:pPr>
              <w:tabs>
                <w:tab w:val="left" w:pos="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.12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C1A88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E878D9F" w14:textId="77777777" w:rsidTr="00D03BD6">
        <w:trPr>
          <w:trHeight w:val="1269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13E83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758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0819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C31B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 xml:space="preserve">.4 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FA0F44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277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B472C5">
              <w:rPr>
                <w:color w:val="00B050"/>
              </w:rPr>
              <w:t>13</w:t>
            </w:r>
            <w:r w:rsidRPr="00B472C5">
              <w:rPr>
                <w:color w:val="00B050"/>
                <w:cs/>
              </w:rPr>
              <w:t xml:space="preserve"> ภาษีเงินได้</w:t>
            </w:r>
            <w:r w:rsidRPr="00B472C5">
              <w:rPr>
                <w:b/>
                <w:bCs/>
                <w:i/>
                <w:iCs/>
                <w:color w:val="00B050"/>
                <w:cs/>
              </w:rPr>
              <w:t xml:space="preserve"> </w:t>
            </w:r>
            <w:r w:rsidRPr="00B472C5">
              <w:rPr>
                <w:color w:val="00B050"/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 ค่าใช้จ่ายเกี่ยวกับอาคารสถานที่และอุปกรณ์ และภาษี</w:t>
            </w:r>
            <w:r w:rsidRPr="00B472C5">
              <w:rPr>
                <w:color w:val="00B050"/>
                <w:cs/>
              </w:rPr>
              <w:lastRenderedPageBreak/>
              <w:t xml:space="preserve">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ค่าใช้จ่ายเกี่ยวกับพนักงาน และรายการที่ </w:t>
            </w: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ค่าตอบแทนกรรมการแล้ว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87E7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4BFBA4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50B4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109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FD2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4F71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10.5 ค่าใช้จ่ายในการดำเนินงานอื่น ๆ </w:t>
            </w:r>
          </w:p>
          <w:p w14:paraId="13B178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388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</w:t>
            </w:r>
            <w:r w:rsidRPr="00B472C5">
              <w:rPr>
                <w:color w:val="00B050"/>
                <w:cs/>
              </w:rPr>
              <w:t xml:space="preserve">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BA898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BE6345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5A98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47F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EC4F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3DB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498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565E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6A08F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E63342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737E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2D6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A7FE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DDCF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3FE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858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906B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503FBF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D5AE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8758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6863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C5FF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D8E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8FD0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A75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451631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4E5D9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5E6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BA97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4FC1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A9A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C423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B472C5">
              <w:rPr>
                <w:color w:val="00B050"/>
              </w:rPr>
              <w:t>Credit Conversion Factor</w:t>
            </w:r>
            <w:r w:rsidRPr="00B472C5">
              <w:rPr>
                <w:color w:val="00B050"/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F7A3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8B1FDE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153E0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FD7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A8F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66F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64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.5.5 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5C67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F0171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61A519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F677EF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F56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17D5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6775F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510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FC5F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D693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5D2145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AB852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3EB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DD43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817D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ค่าใช้จ่ายจากธุรกรรมนโยบายรัฐ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B2E0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5B838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095EBFA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62DA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4F6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60E1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E50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660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ค่าใช้จ่ายดอกเบี้ยจากธุรกรรมนโยบายรัฐ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5CC8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89A3D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6690AB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EC2A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7B5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5EC4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B2FE4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168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ค่าใช้จ่ายดำเนินงานจากธุรกรรมนโยบายรัฐ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A0AD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C1BF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D0A90F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6CD46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561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80F4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2FC2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36A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ค่าใช้จ่ายอื่น ๆ จากธุรกรรมนโยบายรัฐ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034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99597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AD9306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96705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3AAB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D05D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 หนี้สูญ หนี้สงสัยจะสูญ และขาดทุนจากการด้อยค่า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927D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D649C8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EF1A93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21F85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017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D89F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648F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11.1 เงินให้สินเชื่อ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E736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B434C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0EB9CEC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F50D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1895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3AC2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31CE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73C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11.1.1 หนี้สูญ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AE2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06F38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AAA905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93D58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9A5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D6DD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09F0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AA4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11.1.2 หนี้สงสัยจะสูญ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4165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D0146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911708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C6F5B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0AA3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2B3A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7E6D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7F3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9631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A6AD6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0127DA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D15D9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FB9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8FFF6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4687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11.2 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D205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211D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F723F6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06A69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920450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474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183B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หนี้สูญ หนี้สงสัยจะสูญ และขาดทุนจากการปรับปรุงโครงสร้างหนี้ สำหรับการดำเนินธุรกรรมนโยบายรัฐ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A38C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48A86E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D158E9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CF647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lastRenderedPageBreak/>
              <w:t>920451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79C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A106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DAE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หนี้สูญสำหรับการดำเนินธุรกรรมนโยบายรัฐ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8DA5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F1281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64E4176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F0C2BB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920452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F6FF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BA65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7B8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หนี้สงสัยจะสูญสำหรับการดำเนินธุรกรรมนโยบายรัฐ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5423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A7B06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CE7229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33233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920453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FEB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51D3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874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ขาดทุนจากการปรับโครงสร้างหนี้สำหรับการดำเนินธุรกรรมนโยบายรัฐ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0781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091D4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B14CAB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A2609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920454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6E1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352F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ECD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เงินลงทุนสำหรับการดำเนินธุรกรรมนโยบายรัฐ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F201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8CB8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4D616A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7B2A6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920423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C4C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05B6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เงินชดเชยโครงการนโยบายรัฐ (ต้นทุนเงินและค่าบริการ)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3175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49C88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1D47A3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430BB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9D75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A628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รายได้จากธุรกรรมนโยบายรัฐ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5B64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34CE2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FF4A5C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F6078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C50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CF296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4F8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รายได้ดอกเบี้ยจากลูกหนี้ธุรกรรมนโยบายรัฐ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67EE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432BD0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1579B7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78792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61E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A78D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1C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รายได้ค่าธรรมเนียมและบริการจากลูกหนี้ธุรกรรมนโยบายรัฐ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C680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43491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5F4F2F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8F439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E3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5993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EA3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รายได้อื่น ๆ จากลูกหนี้ธุรกรรมนโยบายรัฐ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DA3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76D3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67ED17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1941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944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D1DD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57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รายได้ชดเชยดอกเบี้ยธุรกรรมนโยบายรัฐจากรัฐบาล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2C9A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2FE55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91445B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A3784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EE5E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AD21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6D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รายได้ชดเชยต้นทุนเงินธุรกรรมนโยบายรัฐจากรัฐบาล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69FF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B6D1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2750C7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9C494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7313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C67F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899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[เฉพาะ </w:t>
            </w:r>
            <w:r w:rsidRPr="00B472C5">
              <w:rPr>
                <w:color w:val="00B050"/>
              </w:rPr>
              <w:t>SFIs</w:t>
            </w:r>
            <w:r w:rsidRPr="00B472C5">
              <w:rPr>
                <w:color w:val="00B050"/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986A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3F6E3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1A1261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F6D6B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D63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9351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12. กำไร (ขาดทุน)จากการดำเนินงานก่อนภาษีเงินได้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B506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D9F9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4D05DF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4056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680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B55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13.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2DD5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64EC77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B5C4E5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B159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085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908F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CBC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ภาษีเงินได้ปัจจุบัน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490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56C1F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4689FB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F3634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A93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7F5A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897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13.2 ภาษีเงินได้รอตัดบัญชี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967E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FEB0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5ED68D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CC536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138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2FB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14. กำไร (ขาดทุน) สุทธิ</w:t>
            </w:r>
          </w:p>
          <w:p w14:paraId="3458D8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79C3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EB90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8CAD42D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FDC8A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C19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3546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15. กำไร (ขาดทุน) เบ็ดเสร็จอื่น</w:t>
            </w:r>
          </w:p>
          <w:p w14:paraId="6FD4DB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E6EDE1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40C4CD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2C1918BE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3A84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5D77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2790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609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15.1 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FEA6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5042A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5738F00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9D70D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276D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A7E3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DA70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EDB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CFEF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46CED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51605E1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D41B0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636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CFF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E9B7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8F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15.1.2 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0A7A2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FC3F52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D195C62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8EC61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37B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8102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5215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376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15.1.3 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BED0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646D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B224CD5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0F9FC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996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147F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7A30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06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15.1.4 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5E6D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939E0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5B523C0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EA5C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B5B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152A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1804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C9F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 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EEEE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51945A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89775B8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1295B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967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0751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C391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247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3742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เบ็ดเสร็จอื่นสำหรับรายการที่อาจจัดประเภทรายการใหม่เข้าไว้ในกำไรหรือขาดทุนในภายหลัง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3B72F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37D388D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8BE0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920427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EFB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AE16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9593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39BD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274B36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185B925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EF3C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5A5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1B6B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02CD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F7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การเปลี่ยนแปลงในส่วนเกินทุนจากการ ตีมูลค่าสินทรัพย์</w:t>
            </w:r>
          </w:p>
          <w:p w14:paraId="2FF5E4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4635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86E82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266BD4D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21CC6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781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33C2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C3C0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DE77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6593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E0213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53C318F0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7925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DCF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6286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D300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7D1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 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7DAB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404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433D9E5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A09D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1DF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73E2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B808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51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99F38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09653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65EFAAD8" w14:textId="77777777" w:rsidTr="00D03BD6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43B2E0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1F5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0A53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16. กำไร (ขาดทุน) เบ็ดเสร็จรวม</w:t>
            </w:r>
          </w:p>
          <w:p w14:paraId="414142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9369FE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ผลรวมของกำไร (ขาดทุน) สุทธิ 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562C55" w14:textId="77777777" w:rsidR="00D03BD6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492063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67A04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9C8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FBA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17. การแบ่งปันกำไร (ขาดทุน) สุทธิ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4203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96283A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E4EBC6B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1067C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683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7A8F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E9BA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17.1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A2B7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F2E45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3E94F35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D9F4D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64B0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C1D3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DA245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018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98C39B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CA960C1" w14:textId="77777777" w:rsidTr="00D03BD6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34734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151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9BA9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18. การแบ่งปันกำไร (ขาดทุน) เบ็ดเสร็จรวม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</w:t>
            </w:r>
          </w:p>
          <w:p w14:paraId="7CC605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D4DFC4" w14:textId="77777777" w:rsidR="00D03BD6" w:rsidRPr="00B472C5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5046" w14:textId="77777777" w:rsidR="00D03BD6" w:rsidRPr="00050950" w:rsidRDefault="00D03BD6" w:rsidP="00D03BD6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27E30CA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8F17E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196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19E6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A52F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18.1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2C7F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11E09E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E20895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C6840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D4B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D790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D910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48ED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CD4017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448B706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141F0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920392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DD2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3920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19. กำไร (ขาดทุน) ต่อหุ้น</w:t>
            </w:r>
          </w:p>
          <w:p w14:paraId="54AEE9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4088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ED34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2E06786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6503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61F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210B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B41A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A49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6"/>
                <w:cs/>
              </w:rPr>
            </w:pPr>
            <w:r w:rsidRPr="00B472C5">
              <w:rPr>
                <w:color w:val="00B050"/>
                <w:spacing w:val="-6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4C857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26F4394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94646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C23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7D715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7155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D863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6"/>
                <w:cs/>
              </w:rPr>
            </w:pPr>
            <w:r w:rsidRPr="00B472C5">
              <w:rPr>
                <w:color w:val="00B050"/>
                <w:spacing w:val="-6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669F26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09A4D6C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46A6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D3A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D63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20.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7D39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09EBB9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7053333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3D037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EE418" w14:textId="77777777" w:rsidR="00D03BD6" w:rsidRPr="00B472C5" w:rsidRDefault="00D03BD6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B050"/>
                <w:lang w:val="en-US" w:eastAsia="en-US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E14C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21.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2E842E" w14:textId="77777777" w:rsidR="00D03BD6" w:rsidRPr="00B472C5" w:rsidRDefault="00D03BD6" w:rsidP="00D0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B050"/>
                <w:lang w:val="en-US" w:eastAsia="en-US"/>
              </w:rPr>
            </w:pPr>
            <w:r w:rsidRPr="00B472C5">
              <w:rPr>
                <w:rFonts w:cs="Tahoma"/>
                <w:color w:val="00B050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1B82C" w14:textId="77777777" w:rsidR="00D03BD6" w:rsidRDefault="00D03BD6" w:rsidP="00D03BD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03BD6" w:rsidRPr="00050950" w14:paraId="1C17DF2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2DFDC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65F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CE7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22.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B472C5">
              <w:rPr>
                <w:color w:val="00B050"/>
              </w:rPr>
              <w:t xml:space="preserve">FI Reporting Group Id </w:t>
            </w:r>
            <w:r w:rsidRPr="00B472C5">
              <w:rPr>
                <w:color w:val="00B050"/>
                <w:cs/>
              </w:rPr>
              <w:t xml:space="preserve">= </w:t>
            </w:r>
            <w:r w:rsidRPr="00B472C5">
              <w:rPr>
                <w:color w:val="00B050"/>
              </w:rPr>
              <w:t xml:space="preserve">116005 </w:t>
            </w:r>
            <w:r w:rsidRPr="00B472C5">
              <w:rPr>
                <w:color w:val="00B050"/>
                <w:cs/>
              </w:rPr>
              <w:t>และ</w:t>
            </w:r>
            <w:r w:rsidRPr="00B472C5">
              <w:rPr>
                <w:color w:val="00B050"/>
              </w:rPr>
              <w:t xml:space="preserve"> 116006</w:t>
            </w:r>
            <w:r w:rsidRPr="00B472C5">
              <w:rPr>
                <w:color w:val="00B050"/>
                <w:cs/>
              </w:rPr>
              <w:t xml:space="preserve">] เท่านั้น)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2967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553AC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05EF1C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D8A3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0CDD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9198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9BF5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รายได้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318D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รายได้ระหว่างกัน 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EA078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3A7CB3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6D9B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920399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CEF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A864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11E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1E2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3568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F77748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024E2B9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2BD0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E8B2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2619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9BDC7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5ABC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BD6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เงินให้กู้ยืมแก่สำนักงานใหญ่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BD5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ดอกเบี้ยรับ และส่วนลดจากเงินให้กู้ยืม แก่สำนักงานใหญ่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A2100A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7D20279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EA55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C06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2E6FA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7D84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1A2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A5F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เงินฝากที่สำนักงานใหญ่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3142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CD80C7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028D05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EB5AD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DE52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0A77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9843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78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081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เงินให้กู้ยืมแก่สาขาอื่น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0722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D06E6A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451530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8CC9E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9D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2FDA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D2F6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61F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51A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เงินฝากที่สาขาอื่น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C97A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5A829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F52787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EAB1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7D9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83CF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C2D4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D06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DF4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5E74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B5D90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EDB706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9E35D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D42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2C2A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6AC7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DF7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CEDB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877DE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434A844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747A8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CAB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9E81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CB17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793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04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C8CA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FF322C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4EE8953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327E9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46364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9C8A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162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C45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1F6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244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352D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679B6E18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17395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F0E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EA8C9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20D8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17B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58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A4CD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3B2B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551C104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0DB6C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6C1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BCE6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EAA8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044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FD6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8CF5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3A84C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05B6C57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0A83A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04C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1EFE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24F6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1524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ค่าใช้จ่ายระหว่างกันของธนาคารพาณิชย์ไทยที่มีสาขาในต่างประเทศ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3552D0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08DB91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FC125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06C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0715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D62E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AD8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EC24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4B2314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70769F0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80286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DA3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6356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06A0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AD6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625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spacing w:val="-2"/>
              </w:rPr>
              <w:t>22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1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 xml:space="preserve">1 </w:t>
            </w:r>
            <w:r w:rsidRPr="00B472C5">
              <w:rPr>
                <w:color w:val="00B050"/>
                <w:spacing w:val="-2"/>
                <w:cs/>
              </w:rPr>
              <w:t>เงินลงทุนของสำนักงานใหญ่ที่</w:t>
            </w:r>
            <w:r w:rsidRPr="00B472C5">
              <w:rPr>
                <w:color w:val="00B050"/>
                <w:cs/>
              </w:rPr>
              <w:t>สาขาในต่างประเทศ(</w:t>
            </w:r>
            <w:r w:rsidRPr="00B472C5">
              <w:rPr>
                <w:color w:val="00B050"/>
              </w:rPr>
              <w:t>Fund Allocated</w:t>
            </w:r>
            <w:r w:rsidRPr="00B472C5">
              <w:rPr>
                <w:color w:val="00B050"/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2D68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D02F5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DB378AE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77FC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330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1549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BB2A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D7C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4B9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เงินกู้ยืมจากสำนักงานใหญ่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FF64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ดอกเบี้ยเงินกู้ยืม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58CB2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0869873C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299A5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270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7916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4B6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DEA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847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9044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ดอกเบี้ยเงินรับฝาก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B016D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30A862C5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75BA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883D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B85E2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0004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83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F2CC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587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6909C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646CAAFF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6E1ECB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4412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7F40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C768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B97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60F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DE09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792EF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C8A8CA2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7E8E0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A8C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1B28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F7AC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337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142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480C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0F2EFD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121D3827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A41EB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400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A4F9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FE45A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5F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D855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4"/>
              </w:rPr>
            </w:pPr>
            <w:r w:rsidRPr="00B472C5">
              <w:rPr>
                <w:color w:val="00B050"/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6162EE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4F99684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FFF5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7E4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BA11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2D44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7B9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183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spacing w:val="-2"/>
              </w:rPr>
            </w:pPr>
            <w:r w:rsidRPr="00B472C5">
              <w:rPr>
                <w:color w:val="00B050"/>
                <w:spacing w:val="-2"/>
              </w:rPr>
              <w:t>22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2</w:t>
            </w:r>
            <w:r w:rsidRPr="00B472C5">
              <w:rPr>
                <w:color w:val="00B050"/>
                <w:spacing w:val="-2"/>
                <w:cs/>
              </w:rPr>
              <w:t>.</w:t>
            </w:r>
            <w:r w:rsidRPr="00B472C5">
              <w:rPr>
                <w:color w:val="00B050"/>
                <w:spacing w:val="-2"/>
              </w:rPr>
              <w:t>1</w:t>
            </w:r>
            <w:r w:rsidRPr="00B472C5">
              <w:rPr>
                <w:color w:val="00B050"/>
                <w:spacing w:val="-2"/>
                <w:cs/>
              </w:rPr>
              <w:t xml:space="preserve"> ค่าจัดการ(</w:t>
            </w:r>
            <w:r w:rsidRPr="00B472C5">
              <w:rPr>
                <w:color w:val="00B050"/>
                <w:spacing w:val="-2"/>
              </w:rPr>
              <w:t>Management Fee</w:t>
            </w:r>
            <w:r w:rsidRPr="00B472C5">
              <w:rPr>
                <w:color w:val="00B050"/>
                <w:spacing w:val="-2"/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4D77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</w:t>
            </w:r>
            <w:r w:rsidRPr="00B472C5">
              <w:rPr>
                <w:color w:val="00B050"/>
                <w:cs/>
              </w:rPr>
              <w:br/>
              <w:t>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27B1B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25B7A04A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B42C28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DF1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A75A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5369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DC2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11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28B6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EFE883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050950" w14:paraId="796E7691" w14:textId="77777777" w:rsidTr="00D03BD6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108D01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0C7735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544D0D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2B118D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5B6C16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5CB075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789A5A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48E7D6C" w14:textId="77777777" w:rsidR="00D03BD6" w:rsidRPr="00050950" w:rsidRDefault="00D03BD6" w:rsidP="00D03BD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03BD6" w:rsidRPr="00E34E86" w14:paraId="3EDBD363" w14:textId="77777777" w:rsidTr="00D03BD6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C78C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1F6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งบกำไรขาดทุนเบ็ดเสร็จ (</w:t>
            </w:r>
            <w:r w:rsidRPr="00B472C5">
              <w:rPr>
                <w:color w:val="00B050"/>
              </w:rPr>
              <w:t>Comprehensive Income Statement</w:t>
            </w:r>
            <w:r w:rsidRPr="00B472C5">
              <w:rPr>
                <w:color w:val="00B050"/>
                <w:cs/>
              </w:rPr>
              <w:t>) เฉพาะธนาคารพาณิชย์ บริษัทเงินทุน บริษัทเครดิตฟองซิเอร์กลุ่มธุรกิจทางการเงินและสถาบันการเงินพิเศษของรัฐ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05D9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46322" w14:textId="77777777" w:rsidR="00D03BD6" w:rsidRPr="00123F2C" w:rsidRDefault="00D03BD6" w:rsidP="00D03BD6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D03BD6" w:rsidRPr="00E34E86" w14:paraId="3242C598" w14:textId="77777777" w:rsidTr="00D03BD6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4954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C73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AE6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เงินลงทุน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</w:t>
            </w:r>
            <w:proofErr w:type="spellStart"/>
            <w:r w:rsidRPr="00B472C5">
              <w:rPr>
                <w:color w:val="00B050"/>
                <w:cs/>
              </w:rPr>
              <w:t>ริอะฮ์</w:t>
            </w:r>
            <w:proofErr w:type="spellEnd"/>
            <w:r w:rsidRPr="00B472C5">
              <w:rPr>
                <w:color w:val="00B050"/>
                <w:cs/>
              </w:rPr>
              <w:t xml:space="preserve"> (</w:t>
            </w:r>
            <w:proofErr w:type="spellStart"/>
            <w:r w:rsidRPr="00B472C5">
              <w:rPr>
                <w:color w:val="00B050"/>
              </w:rPr>
              <w:t>Shariah</w:t>
            </w:r>
            <w:proofErr w:type="spellEnd"/>
            <w:r w:rsidRPr="00B472C5">
              <w:rPr>
                <w:color w:val="00B050"/>
                <w:cs/>
              </w:rPr>
              <w:t>)  ทั้งนี้ สำหรับดอกเบี้ยรับ (จ่าย) สุทธิจากเครื่องมือที่ใช้ป้องกันความเสี่ยงด้านอัตราดอกเบี้ยของธุรกรรมในบัญชีเพื่อ</w:t>
            </w:r>
            <w:r w:rsidRPr="00B472C5">
              <w:rPr>
                <w:color w:val="00B050"/>
                <w:cs/>
              </w:rPr>
              <w:lastRenderedPageBreak/>
              <w:t>การธนาคารของสินทรัพย์ทางการเงินที่เป็นรายการที่มีการป้องกันความเสี่ยง (</w:t>
            </w:r>
            <w:r w:rsidRPr="00B472C5">
              <w:rPr>
                <w:color w:val="00B050"/>
              </w:rPr>
              <w:t>Hedged items</w:t>
            </w:r>
            <w:r w:rsidRPr="00B472C5">
              <w:rPr>
                <w:color w:val="00B050"/>
                <w:cs/>
              </w:rPr>
              <w:t>) ให้รวมอยู่ในรายได้ดอกเบี้ยของสินทรัพย์ทางการเงินนั้น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7B9653" w14:textId="77777777" w:rsidR="00D03BD6" w:rsidRPr="00123F2C" w:rsidRDefault="00D03BD6" w:rsidP="00D03BD6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D03BD6" w:rsidRPr="00E34E86" w14:paraId="4334EB1C" w14:textId="77777777" w:rsidTr="00D03BD6">
        <w:tblPrEx>
          <w:tblBorders>
            <w:insideV w:val="none" w:sz="0" w:space="0" w:color="auto"/>
          </w:tblBorders>
        </w:tblPrEx>
        <w:trPr>
          <w:trHeight w:val="9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A331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EDC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98D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F5DB4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E94625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2DD3F747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2C70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</w:rPr>
              <w:t>920473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C99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38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67A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545D1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7717AD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78B62AA4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C237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E8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C89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670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เงินให้สินเชื่อธุรกิจขนาดกลาง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B88A6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AC14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20DEF845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8ED1F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991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FF6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28E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เงินให้สินเชื่อธุรกิจขนาดย่อม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52FD1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3BB2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25C1B82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E73E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AEF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68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7FC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เงินให้สินเชื่อเพื่อซื้อที่อยู่อาศัย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1468EAA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FDE58D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B72B912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97F0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18B9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572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7438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เงินให้สินเชื่อบัตรเครดิต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7E15B9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8AA1ED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C3EED5B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32B5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AC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966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359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เงินให้สินเชื่อเพื่อการอุปโภคบริโภคส่วนบุคคลอื่น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A0AC3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FA23DE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30447BE" w14:textId="77777777" w:rsidTr="00D03BD6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2474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6A3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D0C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FF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7 </w:t>
            </w:r>
            <w:r w:rsidRPr="00B472C5">
              <w:rPr>
                <w:color w:val="00B050"/>
                <w:cs/>
              </w:rPr>
              <w:t xml:space="preserve">เงินให้สินเชื่ออื่น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46D00F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E0A41A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DE8B65F" w14:textId="77777777" w:rsidTr="00D03BD6">
        <w:tblPrEx>
          <w:tblBorders>
            <w:insideV w:val="none" w:sz="0" w:space="0" w:color="auto"/>
          </w:tblBorders>
        </w:tblPrEx>
        <w:trPr>
          <w:trHeight w:val="76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413D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223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6A4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D1D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A62BB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3590E297" w14:textId="77777777" w:rsidTr="00D03BD6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A923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92F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4DB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5B4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CA6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ส่วนลด และผลประโยชน์อื่นใดที่ได้รับจากเงินฝาก บัตรเงินฝาก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B3C30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9FFBE9F" w14:textId="77777777" w:rsidTr="00D03BD6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19C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E74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936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0A9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เงินให้สินเชื่อ 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1EDC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21581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B6528E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409B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C36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57B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7C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E3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เงินให้สินเชื่อระหว่างสถาบันการเงิน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527B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24E5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14E3EA3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DF7E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1AB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91C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139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F74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 เงินให้สินเชื่อตามหลัก </w:t>
            </w:r>
            <w:r w:rsidRPr="00B472C5">
              <w:rPr>
                <w:color w:val="00B050"/>
              </w:rPr>
              <w:t xml:space="preserve">Risk &amp; Reward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6971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2ED665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934CDC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9BF2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25B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FCB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FAE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4A94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ดอกเบี้ยจากการให้กู้ยืมตามธุรกรรมซื้อคืนเอกชน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3A64A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88458E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C868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60D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6D10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การให้เช่าซื้อและสัญญาเช่าการเงิน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CCBF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ต่างของราคาเช่าหรือราคาเช่าซื้อสินค้ากับราคาทุนของสินค้าที่เช่าหรือ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EC83AE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6422047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5302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293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083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E0C3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ดอกเบี้ยรับสุทธิจากเงินลงทุนและธุรกรรมเพื่อค้า ดอกเบี้ยรับสุทธิจากเครื่องมือที่ใช้ในการป้องกันความเสี่ยงด้านอัตราดอกเบี้ยของธุรกรรมเพื่อค้า รวมถึง ดอกเบี้ยจากการลงทุนในตราสารหนี้ ดอกเบี้ยจากการลงทุนใน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ที่มีวัตถุประสงค์เพื่อค้า เผื่อขายและที่จะถือจนครบกำหนด 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33702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451D010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133B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F77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A9C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CA1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เงินลงทุนและธุรกรรมเพื่อค้า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C1C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ดอกเบี้ยรับสุทธิจากเงินลงทุนและธุรกรรมเพื่อค้า รวมถึงดอกเบี้ยรับสุทธิจากเครื่องมือที่ใช้ในการป้องกันความเสี่ยงด้านอัตราดอกเบี้ยของธุรกรรมเพื่อค้า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52C35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81B94B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BD3F4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0BF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B0E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E1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AC3A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ดอกเบี้ยจากการลงทุนในตราสารหนี้ ยกเว้นที่กำหนดให้รวมในข้อ 1.4.1 เงินลงทุนและธุรกรรมเพื่อค้า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FC2A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3905EF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257A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5FB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0FD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6EE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01D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657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ดอกเบี้ยจากการลงทุนในตราสารหนี้ที่วัดมูลค่าด้วยมูลค่ายุติธรรมผ่านกำไรขาดทุนเบ็ดเสร็จอื่น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F2400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377949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98B3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B9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99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9EA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8D3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12EC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ดอกเบี้ยจากการลงทุนในตราสารหนี้ที่วัดมูลค่าด้วยราคาทุนตัดจำหน่าย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CACA2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237F87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C91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794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EBD3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E76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A30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165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ดอกเบี้ยจากการลงทุนในตราสารหนี้ นอกเหนือจากที่รวมในข้อ 1.4.2.1 และ 1.4.2.2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E8A9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DDBA11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446B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CB2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03A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1FE5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ADE29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6FC280A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BFB3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65A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1D69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ดอกเบี้ยและส่วนลดที่จ่ายสำหรับเงินรับฝากประเภทต่าง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</w:t>
            </w:r>
            <w:proofErr w:type="spellStart"/>
            <w:r w:rsidRPr="00B472C5">
              <w:rPr>
                <w:color w:val="00B050"/>
                <w:cs/>
              </w:rPr>
              <w:t>ริอะฮ์</w:t>
            </w:r>
            <w:proofErr w:type="spellEnd"/>
            <w:r w:rsidRPr="00B472C5">
              <w:rPr>
                <w:color w:val="00B050"/>
                <w:cs/>
              </w:rPr>
              <w:t xml:space="preserve"> (</w:t>
            </w:r>
            <w:proofErr w:type="spellStart"/>
            <w:r w:rsidRPr="00B472C5">
              <w:rPr>
                <w:color w:val="00B050"/>
              </w:rPr>
              <w:t>Shariah</w:t>
            </w:r>
            <w:proofErr w:type="spellEnd"/>
            <w:r w:rsidRPr="00B472C5">
              <w:rPr>
                <w:color w:val="00B050"/>
                <w:cs/>
              </w:rPr>
              <w:t>)   ทั้งนี้ สำหรับดอกเบี้ย (รับ) จ่ายสุทธิจากเครื่องมือที่ใช้ป้องกันความเสี่ยงด้านอัตราดอกเบี้ยของธุรกรรมในบัญชีเพื่อการธนาคารของหนี้สินทางการเงินที่เป็นรายการที่มีการป้องกันความเสี่ยง (</w:t>
            </w:r>
            <w:r w:rsidRPr="00B472C5">
              <w:rPr>
                <w:color w:val="00B050"/>
              </w:rPr>
              <w:t>Hedged items</w:t>
            </w:r>
            <w:r w:rsidRPr="00B472C5">
              <w:rPr>
                <w:color w:val="00B050"/>
                <w:cs/>
              </w:rPr>
              <w:t>) ให้รวมอยู่ในค่าใช้จ่ายดอกเบี้ยของหนี้สินทางการเงินนั้น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0CDC2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C24591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CED6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6E0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4B8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0618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ดอกเบี้ยและส่วนลดที่จ่ายสำหรับเงินรับฝากประเภทต่าง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2FD83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72C296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7B95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27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FD3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385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ดอกเบี้ยจ่ายสำหรับเงินรับฝากและเงินกู้ยืมประเภทต่างๆ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B472C5">
              <w:rPr>
                <w:color w:val="00B050"/>
              </w:rPr>
              <w:t>True Sale</w:t>
            </w:r>
            <w:r w:rsidRPr="00B472C5">
              <w:rPr>
                <w:color w:val="00B050"/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31FEA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339BEC9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3E17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920497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A59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02C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669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A57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ดอกเบี้ยจ่ายสำหรับเงินรับฝากประเภทต่างๆ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88966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AA56C5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D125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0BF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A67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C3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E47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ทั้งนี้ ไม่รวม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8B0757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BE080E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3A60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920499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CD9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EAE2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BC9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B9B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ดอกเบี้ยที่จ่ายจากการกู้ยืมตามธุรกรรมซื้อคืนเอกชน (</w:t>
            </w:r>
            <w:r w:rsidRPr="00B472C5">
              <w:rPr>
                <w:color w:val="00B050"/>
              </w:rPr>
              <w:t>Private Repo</w:t>
            </w:r>
            <w:r w:rsidRPr="00B472C5">
              <w:rPr>
                <w:color w:val="00B050"/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C6D0E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E408C1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BE47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495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611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CFA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9F3F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455BE3C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4B2D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C4E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55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04D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ตั๋วแลกเงิน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287D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6D978D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34F03B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3DFD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F216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23F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876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9195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และที่ไม่กำหนดให้แสดงด้วยมูลค่ายุติธรรม (</w:t>
            </w:r>
            <w:r w:rsidRPr="00B472C5">
              <w:rPr>
                <w:color w:val="00B050"/>
              </w:rPr>
              <w:t>Fair Value Option</w:t>
            </w:r>
            <w:r w:rsidRPr="00B472C5">
              <w:rPr>
                <w:color w:val="00B050"/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2695D5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DAC1BB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4F51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87F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54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692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C07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3038E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8129FC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B090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FE7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A80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ค่าธรรมเนียมในการกู้ยืมเงิน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004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ค่าธรรมเนียมและค่าใช้จ่ายต่างๆ ที่สถาบันการเงินต้องจ่ายไปเพื่อการกู้ยืมเงินนั้นโดยตรง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5424B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1B9E193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899B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5D6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B00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C94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BC1C80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2A81CD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3A2E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723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3CF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7B7F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C9B16A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1523EC1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66CB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5245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 xml:space="preserve">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F67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417B4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F10389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246A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708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620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การรับรอง รับ</w:t>
            </w:r>
            <w:proofErr w:type="spellStart"/>
            <w:r w:rsidRPr="00B472C5">
              <w:rPr>
                <w:color w:val="00B050"/>
                <w:cs/>
              </w:rPr>
              <w:t>อาวัล</w:t>
            </w:r>
            <w:proofErr w:type="spellEnd"/>
            <w:r w:rsidRPr="00B472C5">
              <w:rPr>
                <w:color w:val="00B050"/>
                <w:cs/>
              </w:rPr>
              <w:t xml:space="preserve">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8668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 และบริการจากการรับรองตั๋วเงิน รับ</w:t>
            </w:r>
            <w:proofErr w:type="spellStart"/>
            <w:r w:rsidRPr="00B472C5">
              <w:rPr>
                <w:color w:val="00B050"/>
                <w:cs/>
              </w:rPr>
              <w:t>อาวัล</w:t>
            </w:r>
            <w:proofErr w:type="spellEnd"/>
            <w:r w:rsidRPr="00B472C5">
              <w:rPr>
                <w:color w:val="00B050"/>
                <w:cs/>
              </w:rPr>
              <w:t>ตั๋วเงิน การค้ำประกันการกู้ยืมเงิน การค้ำประกันการขาย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6FE0C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6DAC2F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57FF6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EDB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955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2C72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2F4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42BC665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7557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7A7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5B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3BD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ค่าธรรมเนียมแรกเข้าและรายปี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163C8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1C3F7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8DF5A2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AEFF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95B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EB4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B29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รายได้จากการเป็นผู้ออกบัตร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2DD1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B472C5">
              <w:rPr>
                <w:color w:val="00B050"/>
              </w:rPr>
              <w:t>Interchange Fee</w:t>
            </w:r>
            <w:r w:rsidRPr="00B472C5">
              <w:rPr>
                <w:color w:val="00B050"/>
                <w:cs/>
              </w:rPr>
              <w:t>) ค่าธรรมเนียมจากการอำนวยความสะดวกในการขายสินค้าทางไปรษณีย์ผ่านบัตรเครดิต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CF619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C8F2CF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939A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FA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DE5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7F8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รายได้จากการเป็นตัวแทนรับบัตร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591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3DD7DD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20B3A98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BD37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DE5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1B1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70A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C54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ECDBA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388C119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7A87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5777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4F4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บริการบัตร</w:t>
            </w:r>
            <w:r w:rsidRPr="00B472C5">
              <w:rPr>
                <w:color w:val="00B050"/>
              </w:rPr>
              <w:t xml:space="preserve"> ATM</w:t>
            </w:r>
            <w:r w:rsidRPr="00B472C5">
              <w:rPr>
                <w:color w:val="00B050"/>
                <w:cs/>
              </w:rPr>
              <w:t xml:space="preserve"> บัตรเดบิต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7CE4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ค่าธรรมเนียมในการทำบัตร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และบัตรเดบิต  ค่าธรรมเนียมบัตร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B472C5">
              <w:rPr>
                <w:color w:val="00B050"/>
              </w:rPr>
              <w:t xml:space="preserve">Telefax  </w:t>
            </w: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472C5">
              <w:rPr>
                <w:color w:val="00B050"/>
              </w:rPr>
              <w:t xml:space="preserve">Computer Software 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 xml:space="preserve">Computer Information </w:t>
            </w:r>
            <w:r w:rsidRPr="00B472C5">
              <w:rPr>
                <w:color w:val="00B050"/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9151F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716A1D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8AB0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6B4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764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A4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ค่าธรรมเนียมการทำบัตรและรายปี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1C7B1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ค่าธรรมเนียมในการทำบัตร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และบัตรเดบิต ค่าธรรมเนียมบัตร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ABFD06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693BD3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4B02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3D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B5D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48B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บริการฝากถอนเงินสดผ่าน </w:t>
            </w:r>
            <w:r w:rsidRPr="00B472C5">
              <w:rPr>
                <w:color w:val="00B050"/>
              </w:rPr>
              <w:t xml:space="preserve">ATM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303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CDM  </w:t>
            </w:r>
            <w:r w:rsidRPr="00B472C5">
              <w:rPr>
                <w:color w:val="00B050"/>
                <w:cs/>
              </w:rPr>
              <w:t xml:space="preserve">เช่น  การถอนเงินสด สอบถามยอดเงินในบัญชีข้ามสถาบันการเงิน ค่าบริการฝากเงินหรือถอนเงินผ่าน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CDM </w:t>
            </w:r>
            <w:r w:rsidRPr="00B472C5">
              <w:rPr>
                <w:color w:val="00B050"/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E8AE7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737528F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CE1BF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426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4FC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FD1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B964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B472C5">
              <w:rPr>
                <w:color w:val="00B050"/>
              </w:rPr>
              <w:t xml:space="preserve">Telefax  </w:t>
            </w: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472C5">
              <w:rPr>
                <w:color w:val="00B050"/>
              </w:rPr>
              <w:t xml:space="preserve">Computer Software 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 xml:space="preserve">Computer Information </w:t>
            </w:r>
            <w:r w:rsidRPr="00B472C5">
              <w:rPr>
                <w:color w:val="00B050"/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4BB541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8FAA07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B0BD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E73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DC8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51C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CE6B0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D83591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E9D2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B2A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B20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8CC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การโอนเงินมูลค่าสูงผ่านระบบ </w:t>
            </w:r>
            <w:r w:rsidRPr="00B472C5">
              <w:rPr>
                <w:color w:val="00B050"/>
              </w:rPr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7D6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ค่าธรรมเนียมที่เรียกเก็บจากลูกค้าสำหรับการโอนเงินผ่านระบบ </w:t>
            </w:r>
            <w:r w:rsidRPr="00B472C5">
              <w:rPr>
                <w:color w:val="00B050"/>
              </w:rPr>
              <w:t xml:space="preserve">BAHTNET </w:t>
            </w:r>
            <w:r w:rsidRPr="00B472C5">
              <w:rPr>
                <w:color w:val="00B050"/>
                <w:cs/>
              </w:rPr>
              <w:t xml:space="preserve">รวมถึงค่าธรรมเนียมอื่นๆ ที่เกี่ยวข้อง เช่น ค่าธรรมเนียมโอนเงินข้ามเขตผ่านระบบ </w:t>
            </w:r>
            <w:r w:rsidRPr="00B472C5">
              <w:rPr>
                <w:color w:val="00B050"/>
              </w:rPr>
              <w:t xml:space="preserve">BAHTNET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72998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DDB83C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FE0C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AB3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B98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C04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การโอนเงินผ่านระบบ </w:t>
            </w:r>
            <w:r w:rsidRPr="00B472C5">
              <w:rPr>
                <w:color w:val="00B050"/>
              </w:rPr>
              <w:t xml:space="preserve">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745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proofErr w:type="spellStart"/>
            <w:r w:rsidRPr="00B472C5">
              <w:rPr>
                <w:color w:val="00B050"/>
                <w:cs/>
              </w:rPr>
              <w:t>ค่</w:t>
            </w:r>
            <w:proofErr w:type="spellEnd"/>
            <w:r w:rsidRPr="00B472C5">
              <w:rPr>
                <w:color w:val="00B050"/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B472C5">
              <w:rPr>
                <w:color w:val="00B050"/>
              </w:rPr>
              <w:t xml:space="preserve">ITMX Bulk Payment </w:t>
            </w:r>
            <w:r w:rsidRPr="00B472C5">
              <w:rPr>
                <w:color w:val="00B050"/>
                <w:cs/>
              </w:rPr>
              <w:t xml:space="preserve">(หรือเดิมชื่อระบบ </w:t>
            </w:r>
            <w:r w:rsidRPr="00B472C5">
              <w:rPr>
                <w:color w:val="00B050"/>
              </w:rPr>
              <w:t>SMART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BFF30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63F34E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5B25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74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4E8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0CA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การเรียกเก็บเงินตามเช็คและตั๋วเงิน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C847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99468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0CAA5F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D0A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7F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BC9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B9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3F4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ตั๋วเงินสินค้าเข้าและสินค้าออก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EC05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7F625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B2C819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4E85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058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498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C0C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5D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เช็คและตั๋วเงินอื่นๆ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24B5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8B3F5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6478BD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74518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963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BE69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A51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5388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26E8B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DF57E9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CC53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0D02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E2EF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3D10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A54283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2D8AC30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057E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06C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AF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1F2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รายได้จากการจัดการกู้ยืมเงินจากต่างประเทศให้ลูกค้า การทำ </w:t>
            </w:r>
            <w:r w:rsidRPr="00B472C5">
              <w:rPr>
                <w:color w:val="00B050"/>
              </w:rPr>
              <w:t xml:space="preserve">Syndicated Loan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 xml:space="preserve">Participation Loans </w:t>
            </w:r>
            <w:r w:rsidRPr="00B472C5">
              <w:rPr>
                <w:color w:val="00B050"/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9CC052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61B88FC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6901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920527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834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2D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7 </w:t>
            </w:r>
            <w:r w:rsidRPr="00B472C5">
              <w:rPr>
                <w:color w:val="00B050"/>
                <w:cs/>
              </w:rPr>
              <w:t xml:space="preserve">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FF6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53CC2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447BE1A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70B3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24A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9F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8 </w:t>
            </w:r>
            <w:r w:rsidRPr="00B472C5">
              <w:rPr>
                <w:color w:val="00B050"/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448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6A3B90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245D969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8C82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7453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7CD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9 </w:t>
            </w:r>
            <w:r w:rsidRPr="00B472C5">
              <w:rPr>
                <w:color w:val="00B050"/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0534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ค่าสมุดเช็ค  ค่าธรรมเนียมเช็คของขวัญ  บัตรกำนัล </w:t>
            </w:r>
            <w:r w:rsidRPr="00B472C5">
              <w:rPr>
                <w:color w:val="00B050"/>
              </w:rPr>
              <w:t xml:space="preserve">Cashier's Order </w:t>
            </w:r>
            <w:r w:rsidRPr="00B472C5">
              <w:rPr>
                <w:color w:val="00B050"/>
                <w:cs/>
              </w:rPr>
              <w:t xml:space="preserve">และ </w:t>
            </w:r>
            <w:proofErr w:type="spellStart"/>
            <w:r w:rsidRPr="00B472C5">
              <w:rPr>
                <w:color w:val="00B050"/>
              </w:rPr>
              <w:t>Traveller's</w:t>
            </w:r>
            <w:proofErr w:type="spellEnd"/>
            <w:r w:rsidRPr="00B472C5">
              <w:rPr>
                <w:color w:val="00B050"/>
              </w:rPr>
              <w:t xml:space="preserve"> </w:t>
            </w:r>
            <w:proofErr w:type="spellStart"/>
            <w:r w:rsidRPr="00B472C5">
              <w:rPr>
                <w:color w:val="00B050"/>
              </w:rPr>
              <w:t>Cheque</w:t>
            </w:r>
            <w:proofErr w:type="spellEnd"/>
            <w:r w:rsidRPr="00B472C5">
              <w:rPr>
                <w:color w:val="00B050"/>
              </w:rPr>
              <w:t xml:space="preserve">  </w:t>
            </w:r>
            <w:r w:rsidRPr="00B472C5">
              <w:rPr>
                <w:color w:val="00B050"/>
                <w:cs/>
              </w:rPr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C4AC7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0445B0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6751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AFD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0F9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10 </w:t>
            </w:r>
            <w:r w:rsidRPr="00B472C5">
              <w:rPr>
                <w:color w:val="00B050"/>
                <w:cs/>
              </w:rPr>
              <w:t>ค่าธรรมเนียมการออก</w:t>
            </w:r>
            <w:proofErr w:type="spellStart"/>
            <w:r w:rsidRPr="00B472C5">
              <w:rPr>
                <w:color w:val="00B050"/>
                <w:cs/>
              </w:rPr>
              <w:t>เล็ตเตอร์ออฟเครคิต</w:t>
            </w:r>
            <w:proofErr w:type="spellEnd"/>
            <w:r w:rsidRPr="00B472C5">
              <w:rPr>
                <w:color w:val="00B050"/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417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ค่าธรรมเนียมและบริการต่างๆ ที่เรียกเก็บจากการออก</w:t>
            </w:r>
            <w:proofErr w:type="spellStart"/>
            <w:r w:rsidRPr="00B472C5">
              <w:rPr>
                <w:color w:val="00B050"/>
                <w:cs/>
              </w:rPr>
              <w:t>เล็ตเตอร์ออฟ</w:t>
            </w:r>
            <w:proofErr w:type="spellEnd"/>
            <w:r w:rsidRPr="00B472C5">
              <w:rPr>
                <w:color w:val="00B050"/>
                <w:cs/>
              </w:rPr>
              <w:t>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90AE8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ED39F7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64A8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706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90F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11 </w:t>
            </w:r>
            <w:r w:rsidRPr="00B472C5">
              <w:rPr>
                <w:color w:val="00B050"/>
                <w:cs/>
              </w:rPr>
              <w:t xml:space="preserve">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7AE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2D02D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92FF87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9987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5C8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B87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AC0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การขายประกันภัยของบริษัทในกลุ่มธุรกิจทางการเงิน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B1F7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70CB9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77A3E38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5CA0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F37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1C0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4BF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การขายประกันภัยของบริษัทนอกกลุ่มธุรกิจทางการเงิน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C601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093D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021A56E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5CEF7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B62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DF4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6E4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การซื้อขายหลักทรัพย์ ที่เกี่ยวข้องกับบริษัทในกลุ่มธุรกิจทางการเงิน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881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</w:t>
            </w:r>
            <w:proofErr w:type="spellStart"/>
            <w:r w:rsidRPr="00B472C5">
              <w:rPr>
                <w:color w:val="00B050"/>
                <w:cs/>
              </w:rPr>
              <w:t>บลจ</w:t>
            </w:r>
            <w:proofErr w:type="spellEnd"/>
            <w:r w:rsidRPr="00B472C5">
              <w:rPr>
                <w:color w:val="00B050"/>
                <w:cs/>
              </w:rPr>
              <w:t>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40DAE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57C0E9C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8418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374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C1D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246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การซื้อขายหลักทรัพย์ ที่ไม่เกี่ยวข้องกับบริษัทในกลุ่มธุรกิจทางการเงิน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D65A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69828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D892AA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D654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A57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7B4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3BE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FD63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DCCBF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721F07E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723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18B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926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12 </w:t>
            </w:r>
            <w:r w:rsidRPr="00B472C5">
              <w:rPr>
                <w:color w:val="00B050"/>
                <w:cs/>
              </w:rPr>
              <w:t xml:space="preserve">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ED1F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BDE61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0B94D77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7E18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BD3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5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13 </w:t>
            </w:r>
            <w:r w:rsidRPr="00B472C5">
              <w:rPr>
                <w:color w:val="00B050"/>
                <w:cs/>
              </w:rPr>
              <w:t xml:space="preserve">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5121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E7E6D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D03BD6" w:rsidRPr="00E34E86" w14:paraId="478DC26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1ACF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77D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835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14 </w:t>
            </w:r>
            <w:r w:rsidRPr="00B472C5">
              <w:rPr>
                <w:color w:val="00B050"/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03B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8E31E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188F8DA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67AE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890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 xml:space="preserve">. ค่าใช้จ่ายค่าธรรมเนียมและบริการ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F52E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3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A3352" w14:textId="77777777" w:rsidR="00D03BD6" w:rsidRPr="00C60C2F" w:rsidRDefault="00D03BD6" w:rsidP="00D03BD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D03BD6" w:rsidRPr="00E34E86" w14:paraId="1C0A701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3946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74E9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F1A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ค่าธรรมเนียมและบริการจ่าย เกี่ยวกับบัตรเครดิต 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และบัตรอิเล็กทรอนิกส์อื่น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FCF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B472C5">
              <w:rPr>
                <w:color w:val="00B050"/>
              </w:rPr>
              <w:t xml:space="preserve">ATM </w:t>
            </w:r>
            <w:r w:rsidRPr="00B472C5">
              <w:rPr>
                <w:color w:val="00B050"/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B472C5">
              <w:rPr>
                <w:color w:val="00B050"/>
              </w:rPr>
              <w:t xml:space="preserve">National ITMX </w:t>
            </w:r>
            <w:r w:rsidRPr="00B472C5">
              <w:rPr>
                <w:color w:val="00B050"/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4E323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4C392C6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7AC2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75F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F64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การโอนเงินระหว่างสถาบันการเงิน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44C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B472C5">
              <w:rPr>
                <w:color w:val="00B050"/>
              </w:rPr>
              <w:t xml:space="preserve">National ITMX  </w:t>
            </w:r>
            <w:r w:rsidRPr="00B472C5">
              <w:rPr>
                <w:color w:val="00B050"/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4D5EC2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33E84B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68D2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38D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04FA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BEE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A10AC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60B7FC7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75CE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587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. กำไร (ขาดทุน) สุทธิจากเครื่องมือทางการเงินที่วัดมูลค่าด้วยมูลค่ายุติธรรมผ่านกำไรหรือขาดทุน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A47C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จากธุรกรรมเพื่อค้าและปริวรรตเงินตราต่างประเทศ กำไร (ขาดทุน) จากเครื่องมือทางการเงินที่กำหนดให้วัดมูลค่าด้วยมูลค่ายุติธรรม (</w:t>
            </w:r>
            <w:r w:rsidRPr="00B472C5">
              <w:rPr>
                <w:color w:val="00B050"/>
              </w:rPr>
              <w:t>Designated FVTPL</w:t>
            </w:r>
            <w:r w:rsidRPr="00B472C5">
              <w:rPr>
                <w:color w:val="00B050"/>
                <w:cs/>
              </w:rPr>
              <w:t>) และกำไร (ขาดทุน) จากการบัญชีป้องกันความเสี่ยง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43BD3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D6D71B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5D7A5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A06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753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กำไร (ขาดทุน) จากธุรกรรมเพื่อค้าและปริวรรตเงินตราต่างประเทศ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3DE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จากการจำหน่าย การวัดมูลค่ายุติธรรม หรือการโอนเปลี่ยนประเภทของสินทรัพย์ทางการเงินที่วัดมูลค่าด้วยมูลค่ายุติธรรมผ่านกำไรหรือขาดทุน กำไร (ขาดทุน) จากการจ่ายเพื่อโอน หรือการวัดมูลค่ายุติธรรมของหนี้สินทางการเงินเพื่อค้า และกำไร (ขาดทุน) จากการวัดมูลค่ายุติธรรมของอนุพันธ์เพื่อค้าและอนุพันธ์แฝงที่แยกออกจากสัญญาหลัก รวมทั้งกำไร (ขาดทุน) จากการซื้อขายเงินตราต่างประเทศ และจากการแปลงค่าของสินทรัพย์และหนี้สินที่เป็นเงินตราต่างประเทศเป็นเงินบาท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BBD1D4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D03BD6" w:rsidRPr="00E34E86" w14:paraId="10D8B99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AFEF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EC5F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E30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3FA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 (ขาดทุน) จากการวัดมูลค่ายุติธรรม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703A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จากการวัดมูลค่ามูลค่ายุติธรรมของเงินลงทุนในตราสารหนี้  ตราสารทุน  เงินลงทุนในลูกหนี้ที่รับโอนมา  เงินลงทุนในธุรกรรมเงินฝากและเงินกู้ยืมที่มีอนุพันธ์แฝง ตราสารอนุพันธ์เพื่อการค้า  และอนุพันธ์แฝงที่แยกออกจากสัญญาหลัก รวมทั้งหนี้สินทางการเงินที่วัดมูลค่าด้วยมูลค่ายุติธรรมผ่านกำไรหรือขาดทุน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6F102" w14:textId="77777777" w:rsidR="00D03BD6" w:rsidRPr="00123F2C" w:rsidRDefault="00D03BD6" w:rsidP="00D03BD6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03BD6" w:rsidRPr="00E34E86" w14:paraId="53D3AE3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5389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BAD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E15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8C9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96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36D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C70E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528A262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CFA0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D13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369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621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DBB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755F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E644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783ED74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E673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920549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F53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C48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59A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8CE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34CF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14EF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3426FCA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D4D9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73B5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D13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D84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8E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24A1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65CAE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B2C0F0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B683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07B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83F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A02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8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E6DA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4981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954E2E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49B4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2C5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DA4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BE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A70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822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5.1 </w:t>
            </w:r>
            <w:r w:rsidRPr="00B472C5">
              <w:rPr>
                <w:color w:val="00B050"/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F20749" w14:textId="47C95504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จากการวัดมูลค่ายุติธรรมของสัญญาอนุพันธ์ด้านอัตราแลกเปลี่ยน เช่น </w:t>
            </w:r>
            <w:r w:rsidRPr="00B472C5">
              <w:rPr>
                <w:color w:val="00B050"/>
              </w:rPr>
              <w:t xml:space="preserve">Foreign Exchange Forward Contract, Currency Futures, Foreign Exchange Swap, Cross Currency Swaps, Cross Currency Interest Rate Swaps, Currency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0E5EB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2839903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92AA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CEC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D5A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97C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70D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DA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5.1.1.5.2 </w:t>
            </w:r>
            <w:r w:rsidRPr="00B472C5">
              <w:rPr>
                <w:color w:val="00B050"/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84F79C" w14:textId="455EB22F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จากการวัดมูลค่ายุติธรรมของสัญญาอนุพันธ์ด้านอัตราดอกเบี้ย เช่น </w:t>
            </w:r>
            <w:r w:rsidRPr="00B472C5">
              <w:rPr>
                <w:color w:val="00B050"/>
              </w:rPr>
              <w:t xml:space="preserve">Interest Rate Swaps, Basis Swaps, Interest Rate Futures, Forward Rate Agreement, Interest Rate Options (Interest Rate Cap, Interest Rate Floor)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1BE55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1401B5A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5DAF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273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68FB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49F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9DF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7C678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5.1.1.5.3 </w:t>
            </w:r>
            <w:r w:rsidRPr="00B472C5">
              <w:rPr>
                <w:color w:val="00B050"/>
                <w:cs/>
              </w:rPr>
              <w:t>อนุพันธ์ด้านตราสารหนี้</w:t>
            </w:r>
            <w:r w:rsidRPr="00B472C5">
              <w:rPr>
                <w:color w:val="00B050"/>
              </w:rPr>
              <w:tab/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5A012" w14:textId="0AB2A29A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จากการวัดมูลค่ายุติธรรมของสัญญาอนุพันธ์ด้านตราสารหนี้ เช่น </w:t>
            </w:r>
            <w:r w:rsidRPr="00B472C5">
              <w:rPr>
                <w:color w:val="00B050"/>
              </w:rPr>
              <w:t xml:space="preserve">Bond Forwards, Bond Futures, Bond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A880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48F0F77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A1E51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D6F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E0A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605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762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C7870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5.1.1.5.4 </w:t>
            </w:r>
            <w:r w:rsidRPr="00B472C5">
              <w:rPr>
                <w:color w:val="00B050"/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549E3" w14:textId="03CF71AA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จากการวัดมูลค่ายุติธรรมของสัญญาอนุพันธ์ด้านตราสารทุน เช่น </w:t>
            </w:r>
            <w:r w:rsidRPr="00B472C5">
              <w:rPr>
                <w:color w:val="00B050"/>
              </w:rPr>
              <w:t xml:space="preserve">Equity Futures, Equity Forwards, Equity Linked Swaps, Equity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0643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DE1078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5211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79E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0AF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CEF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CCB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05B2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5.1.1.5.5 </w:t>
            </w:r>
            <w:r w:rsidRPr="00B472C5">
              <w:rPr>
                <w:color w:val="00B050"/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154E5C" w14:textId="485D489F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จากการวัดมูลค่ายุติธรรมของสัญญาอนุพันธ์ด้านสินค้าโภคภัณฑ์ เช่น </w:t>
            </w:r>
            <w:r w:rsidRPr="00B472C5">
              <w:rPr>
                <w:color w:val="00B050"/>
              </w:rPr>
              <w:t xml:space="preserve">Commodity Forwards, Commodity Futures, Commodity Linked Swap, Commodity Linked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C115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4FB1BB5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E9806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lastRenderedPageBreak/>
              <w:t>920686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F02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D0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2D1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8C1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F2139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5.1.1.5.6 </w:t>
            </w:r>
            <w:r w:rsidRPr="00B472C5">
              <w:rPr>
                <w:color w:val="00B050"/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A34A9" w14:textId="490ECD65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จากการวัดมูลค่ายุติธรรมของสัญญาอนุพันธ์ด้านเครดิต เช่น </w:t>
            </w:r>
            <w:r w:rsidRPr="00B472C5">
              <w:rPr>
                <w:color w:val="00B050"/>
              </w:rPr>
              <w:t xml:space="preserve">CDS, CLN, TRORS, FTDS, FTDN, Proportionate CDS, Proportionate CLN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336F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2EF9182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6DB9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BC1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8D6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69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71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F9CED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5.1.1.5.7 </w:t>
            </w:r>
            <w:r w:rsidRPr="00B472C5">
              <w:rPr>
                <w:color w:val="00B050"/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4298E" w14:textId="4464E1B3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จากการวัดมูลค่ายุติธรรมของสัญญาอนุพันธ์ด้านอื่น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B174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73ADE53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2122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301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B2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FC1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32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CCB58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5.1.1.5.8 </w:t>
            </w:r>
            <w:r w:rsidRPr="00B472C5">
              <w:rPr>
                <w:color w:val="00B050"/>
                <w:cs/>
              </w:rPr>
              <w:t>ส่วนปรับมูลค่า (</w:t>
            </w:r>
            <w:r w:rsidRPr="00B472C5">
              <w:rPr>
                <w:color w:val="00B050"/>
              </w:rPr>
              <w:t>Valuation Adjustment)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91BB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E3151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AA5F37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3EFC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3D5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7EC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499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BC2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1A195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0BF59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5.1.1.5.8.1 Credit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D99AA9" w14:textId="22A50092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ส่วนปรับมูลค่ายุติธรรมของตราสารอนุพันธ์ที่เกิดจากการเปลี่ยนแปลงคุณภาพเครดิตของคู่สัญญา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0F43B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94F297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7ACF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04A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7A77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016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9CA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F8715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E0812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5.1.1.5.8.2 Debit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287367" w14:textId="348519BA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สถาบันการเงินผู้รายงานข้อมู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0209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5D8306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F636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369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389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C73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FE0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F220F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A5DDD" w14:textId="7138C531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5.1.1.5.8.3 Bid/ Offer </w:t>
            </w:r>
            <w:r w:rsidR="00521F44" w:rsidRPr="00B472C5">
              <w:rPr>
                <w:color w:val="00B050"/>
              </w:rPr>
              <w:t xml:space="preserve">spread </w:t>
            </w:r>
            <w:r w:rsidRPr="00B472C5">
              <w:rPr>
                <w:color w:val="00B050"/>
              </w:rPr>
              <w:t>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AFA00A" w14:textId="742D43CD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ส่วนปรับมูลค่ายุติธรรมของตราสารอนุพันธ์ที่ตีมูลค่าด้วย </w:t>
            </w:r>
            <w:proofErr w:type="spellStart"/>
            <w:r w:rsidRPr="00B472C5">
              <w:rPr>
                <w:color w:val="00B050"/>
              </w:rPr>
              <w:t>mid rate</w:t>
            </w:r>
            <w:proofErr w:type="spellEnd"/>
            <w:r w:rsidRPr="00B472C5">
              <w:rPr>
                <w:color w:val="00B050"/>
              </w:rPr>
              <w:t xml:space="preserve"> (</w:t>
            </w:r>
            <w:proofErr w:type="spellStart"/>
            <w:r w:rsidRPr="00B472C5">
              <w:rPr>
                <w:color w:val="00B050"/>
              </w:rPr>
              <w:t>mid market</w:t>
            </w:r>
            <w:proofErr w:type="spellEnd"/>
            <w:r w:rsidRPr="00B472C5">
              <w:rPr>
                <w:color w:val="00B050"/>
              </w:rPr>
              <w:t xml:space="preserve"> valuations) </w:t>
            </w:r>
            <w:r w:rsidRPr="00B472C5">
              <w:rPr>
                <w:color w:val="00B050"/>
                <w:cs/>
              </w:rPr>
              <w:t xml:space="preserve">เป็นมูลค่ายุติธรรมฝั่ง </w:t>
            </w:r>
            <w:r w:rsidRPr="00B472C5">
              <w:rPr>
                <w:color w:val="00B050"/>
              </w:rPr>
              <w:t xml:space="preserve">bid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offer (bid or offer valuation) </w:t>
            </w:r>
            <w:r w:rsidRPr="00B472C5">
              <w:rPr>
                <w:color w:val="00B050"/>
                <w:cs/>
              </w:rPr>
              <w:t xml:space="preserve">เพื่อให้มูลค่ายุติธรรมสอดคล้องกับฐานะ </w:t>
            </w:r>
            <w:r w:rsidRPr="00B472C5">
              <w:rPr>
                <w:color w:val="00B050"/>
              </w:rPr>
              <w:t xml:space="preserve">Long </w:t>
            </w:r>
            <w:r w:rsidRPr="00B472C5">
              <w:rPr>
                <w:color w:val="00B050"/>
                <w:cs/>
              </w:rPr>
              <w:t xml:space="preserve">หรือ </w:t>
            </w:r>
            <w:r w:rsidRPr="00B472C5">
              <w:rPr>
                <w:color w:val="00B050"/>
              </w:rPr>
              <w:t xml:space="preserve">Short </w:t>
            </w:r>
            <w:r w:rsidRPr="00B472C5">
              <w:rPr>
                <w:color w:val="00B050"/>
                <w:cs/>
              </w:rPr>
              <w:t>ของตราสารอนุพันธ์ที่ สง. ถืออยู่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9BA36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169B7D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C4FF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DEB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1BE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B13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567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54CF3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5C0F2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5.1.1.5.8.4 Funding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97E65F" w14:textId="020875DF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ส่วนปรับมูลค่ายุติธรรมของตราสารอนุพันธ์ที่ทำกับคู่สัญญาที่ไม่ได้วางหลักประกันระหว่างกัน เพื่อสะท้อนต้นทุนหรือประโยชน์ที่เกิดขึ้นจากการที่ สง. ต้องไปวางหรือได้รับหลักประกันจากการทำธุรกรรมเพื่อป้องกันความเสี่ยงจากธุรกรรมดังกล่าวกับอีกคู่สัญญาหนึ่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6D97E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2614F7C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BE5F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BFB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C16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9E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3E4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3C95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8D480" w14:textId="77777777" w:rsidR="00D03BD6" w:rsidRPr="00B472C5" w:rsidRDefault="00D03BD6" w:rsidP="00D03BD6">
            <w:pPr>
              <w:tabs>
                <w:tab w:val="left" w:pos="1029"/>
              </w:tabs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5.1.1.5.8.5 </w:t>
            </w:r>
            <w:r w:rsidRPr="00B472C5">
              <w:rPr>
                <w:color w:val="00B050"/>
                <w:cs/>
              </w:rPr>
              <w:t>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D316E" w14:textId="3824CF71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ส่วนปรับมูลค่ายุติธรรมของตราสารอนุพันธ์ที่เกิดจากปัจจัยอื่นนอกเหนือจาก 5.1.1.5.8.1 – 5.1.1.5.8.4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3E176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12CA28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359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B72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F52F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FF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E6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หนี้สินทางการเงินเพื่อค้า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79EEA" w14:textId="77777777" w:rsidR="00D03BD6" w:rsidRPr="00B472C5" w:rsidRDefault="00D03BD6" w:rsidP="00521F44">
            <w:pPr>
              <w:spacing w:before="120" w:line="360" w:lineRule="auto"/>
              <w:ind w:firstLine="720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982E1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25C2B6F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634F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FB9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C22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4C1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E22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5.1.1.7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86F6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B9461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9BCD5D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F247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9DE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675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442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กำไร (ขาดทุน) จากโอนเปลี่ยนประเภทสินทรัพย์ทางการเงิน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DD0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D907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8F1A5E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6374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76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595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73A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กำไร (ขาดทุน) จากการจำหน่ายสินทรัพย์ทางการเงิน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111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และกำไร (ขาดทุน) ที่รับรู้จากการตกลงชำระราคาตราสารอนุพันธ์เพื่อการค้า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C3787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06A12C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776B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34D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44F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0A3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ED8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19DC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EB88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50B7A44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5FEA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DB0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BF2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751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E78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1098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6250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1186128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2557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0C6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C5A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68C8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D0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3492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D961B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546835A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82951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EAC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85B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960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069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4A92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E47BA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4A9D451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DFBA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441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F6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127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CB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31CA2" w14:textId="51E05FF8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จากการจำหน่ายตราสารอนุพันธ์ รวมถึง กำไร (ขาดทุน) จากการแลกเปลี่ยนกระแสเงินสดหรือผลตอบแทนระหว่างทางก่อนถึงวันครบกำหนดอายุของตราสารอนุพันธ์ เช่น การชำระส่วนต่างอัตราดอกเบี้ยของสัญญา </w:t>
            </w:r>
            <w:r w:rsidRPr="00B472C5">
              <w:rPr>
                <w:color w:val="00B050"/>
              </w:rPr>
              <w:t xml:space="preserve">Interest Rate Swaps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E7A7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049CA2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70EBC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2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6C9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C4F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079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4F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5.1.3.5.1 </w:t>
            </w:r>
            <w:r w:rsidRPr="00B472C5">
              <w:rPr>
                <w:color w:val="00B050"/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BF2810" w14:textId="3D190DE9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แลกเปลี่ยน เช่น </w:t>
            </w:r>
            <w:r w:rsidRPr="00B472C5">
              <w:rPr>
                <w:color w:val="00B050"/>
              </w:rPr>
              <w:t xml:space="preserve">Foreign Exchange Forward Contract, Currency Futures, Foreign Exchange </w:t>
            </w:r>
            <w:r w:rsidRPr="00B472C5">
              <w:rPr>
                <w:color w:val="00B050"/>
              </w:rPr>
              <w:lastRenderedPageBreak/>
              <w:t xml:space="preserve">Swap, Cross Currency Swaps, Cross Currency Interest Rate Swaps, Currency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70B12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lastRenderedPageBreak/>
              <w:t>X</w:t>
            </w:r>
          </w:p>
        </w:tc>
      </w:tr>
      <w:tr w:rsidR="00D03BD6" w:rsidRPr="00E34E86" w14:paraId="3D6B7FC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DC82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29D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F1C5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F06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2E9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7BB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5.1.3.5.2 </w:t>
            </w:r>
            <w:r w:rsidRPr="00B472C5">
              <w:rPr>
                <w:color w:val="00B050"/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31AB32" w14:textId="56E79789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ดอกเบี้ย เช่น </w:t>
            </w:r>
            <w:r w:rsidRPr="00B472C5">
              <w:rPr>
                <w:color w:val="00B050"/>
              </w:rPr>
              <w:t xml:space="preserve">Interest Rate Swaps, Basis Swaps, Interest Rate Futures, Forward Rate Agreement, Interest Rate Options (Interest Rate Cap, Interest Rate Floor)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1822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7BFA3A8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115B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B1B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7AF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CA6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57C9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A2B5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5.1.3.5.3 </w:t>
            </w:r>
            <w:r w:rsidRPr="00B472C5">
              <w:rPr>
                <w:color w:val="00B050"/>
                <w:cs/>
              </w:rPr>
              <w:t>อนุพันธ์ด้านตราสารหนี้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EC7035" w14:textId="2243F0A7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หนี้ เช่น </w:t>
            </w:r>
            <w:r w:rsidRPr="00B472C5">
              <w:rPr>
                <w:color w:val="00B050"/>
              </w:rPr>
              <w:t xml:space="preserve">Bond Forwards, Bond Futures, Bond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7A6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7429B86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A531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091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0E2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030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0CC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69A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5.1.3.5.4 </w:t>
            </w:r>
            <w:r w:rsidRPr="00B472C5">
              <w:rPr>
                <w:color w:val="00B050"/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815A6A" w14:textId="3A21CE94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ทุน เช่น </w:t>
            </w:r>
            <w:r w:rsidRPr="00B472C5">
              <w:rPr>
                <w:color w:val="00B050"/>
              </w:rPr>
              <w:t xml:space="preserve">Equity Futures, Equity Forwards, Equity Linked Swaps, Equity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765F1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4299426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9384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02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75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372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B9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40D0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5.1.3.5.5 </w:t>
            </w:r>
            <w:r w:rsidRPr="00B472C5">
              <w:rPr>
                <w:color w:val="00B050"/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51DDC" w14:textId="2669B3AD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สินค้าโภคภัณฑ์ เช่น </w:t>
            </w:r>
            <w:r w:rsidRPr="00B472C5">
              <w:rPr>
                <w:color w:val="00B050"/>
              </w:rPr>
              <w:t xml:space="preserve">Commodity Forwards, Commodity Futures, Commodity Linked Swap, Commodity Linked Options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769F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FA5CB0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957E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t>920699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C6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D45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4EC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93A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46C1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5.1.3.5.6 </w:t>
            </w:r>
            <w:r w:rsidRPr="00B472C5">
              <w:rPr>
                <w:color w:val="00B050"/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3F3DF" w14:textId="01E604BE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เครดิต เช่น </w:t>
            </w:r>
            <w:r w:rsidRPr="00B472C5">
              <w:rPr>
                <w:color w:val="00B050"/>
              </w:rPr>
              <w:t xml:space="preserve">CDS, CLN, TRORS, FTDS, FTDN, Proportionate CDS, Proportionate CLN </w:t>
            </w:r>
            <w:r w:rsidRPr="00B472C5">
              <w:rPr>
                <w:color w:val="00B050"/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5F5DF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B527A6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6A27F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rFonts w:hint="cs"/>
                <w:color w:val="00B050"/>
                <w:cs/>
              </w:rPr>
              <w:lastRenderedPageBreak/>
              <w:t>920700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B8A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A33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EFC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BC2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5E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 xml:space="preserve">5.1.3.5.7 </w:t>
            </w:r>
            <w:r w:rsidRPr="00B472C5">
              <w:rPr>
                <w:color w:val="00B050"/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C8F2A" w14:textId="304E6BBF" w:rsidR="00D03BD6" w:rsidRPr="00B472C5" w:rsidRDefault="00521F44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4CFB5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3278A43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2F177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4EE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3FC6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744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B77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5.1.3.6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F7C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731A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DDE84C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40B6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357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BBF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D42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F47D5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C9B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AE58EB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97F1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C18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18A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962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051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0E9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จากการซื้อขาย  แลกเปลี่ยนเงินตราต่างประเทศ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BA2E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0E4F14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227E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AB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69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DEA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D9B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กำไร (ขาดทุน) จากการแปลงค่าสินทรัพย์และหนี้สินที่เป็นเงินตราต่างประเทศ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5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0F7F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3215355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082B7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97BA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9B1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 </w:t>
            </w:r>
            <w:r w:rsidRPr="00B472C5">
              <w:rPr>
                <w:color w:val="00B050"/>
                <w:cs/>
              </w:rPr>
              <w:t>กำไร (ขาดทุน) จากเครื่องมือทางการเงินที่กำหนดให้วัดมูลค่าด้วยมูลค่ายุติธรรม (</w:t>
            </w:r>
            <w:r w:rsidRPr="00B472C5">
              <w:rPr>
                <w:color w:val="00B050"/>
              </w:rPr>
              <w:t>Designated FVTPL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7204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B472C5">
              <w:rPr>
                <w:color w:val="00B050"/>
              </w:rPr>
              <w:t>accounting mismatch</w:t>
            </w:r>
            <w:r w:rsidRPr="00B472C5">
              <w:rPr>
                <w:color w:val="00B050"/>
                <w:cs/>
              </w:rPr>
              <w:t>) รวมทั้งกำไร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33D23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49FE66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AC3A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AD5D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A750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8FB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 (ขาดทุน) จากการเปลี่ยนแปลงในมูลค่ายุติธรรม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70B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B472C5">
              <w:rPr>
                <w:color w:val="00B050"/>
              </w:rPr>
              <w:t>accounting mismatch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30FB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FCB40A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5608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D94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7B8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E14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7DC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2FAD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2DC42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58EEFF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7CCF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3FE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4C8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B29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171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99C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BBBEA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1553735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993C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5D1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93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C68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684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26AB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5B02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1D3D657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7C28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C88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FC7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E41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196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>ตราสารหนี้ที่ออกและเงินกู้ยืม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29DA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8226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775D4E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6A9D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69A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A097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C20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4FE9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5.2.1.5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C82A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1C88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5BD9782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758C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F16D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88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6D2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กำไร (ขาดทุน) จากการตัดรายการ รวมถึงดอกเบี้ยรับและดอกเบี้ยจ่าย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E1A3E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595331" w14:textId="7963BF45" w:rsidR="00D03BD6" w:rsidRPr="00B472C5" w:rsidRDefault="00F55EBA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  <w:tr w:rsidR="00D03BD6" w:rsidRPr="00E34E86" w14:paraId="6265F14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E486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45D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7FC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 </w:t>
            </w:r>
            <w:r w:rsidRPr="00B472C5">
              <w:rPr>
                <w:color w:val="00B050"/>
                <w:cs/>
              </w:rPr>
              <w:t>กำไร (ขาดทุน) จากการบัญชีป้องกันความเสี่ยง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1D6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ที่เกิดจากการบัญชีป้องกันความเสี่ยง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F7C71" w14:textId="47A24D40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729D310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E66FA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58C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14D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C11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กำไร (ขาดทุน) จากการป้องกันความเสี่ยงในมูลค่ายุติธรรม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50C2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จากการวัดมูลค่ายุติธรรมเครื่องมือที่ใช้ป้องกันความเสี่ยง และรายการที่มีการป้องกันความเสี่ยง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FB34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36B1B8C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6E1CD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5AC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D80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CB8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กำไร (ขาดทุน) จากการป้องกันความเสี่ยงในกระแสเงินสด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7FC2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จากการป้องกันความเสี่ยงในกระแสเงินสด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116B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7AB7C8B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09C6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085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7C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56F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กำไร (ขาดทุน) จากการป้องกันความเสี่ยงในเงินลงทุนสุทธิในหน่วยงานต่างประเทศ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291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5C44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6EC62F9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9BBDB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05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682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>กำไร (ขาดทุน)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753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อื่น ๆ นอกเหนือจากรายการข้างต้น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1E97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X</w:t>
            </w:r>
          </w:p>
        </w:tc>
      </w:tr>
      <w:tr w:rsidR="00D03BD6" w:rsidRPr="00E34E86" w14:paraId="0FB40A7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1C273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920578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68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 กำไร (ขาดทุน) สุทธิจากเงินลงทุน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73D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จากการตัดรายการเงินลงทุนในตราสารหนี้ที่วัดมูลค่าด้วยมูลค่ายุติธรรมผ่านกำไรขาดทุนเบ็ดเสร็จอื่น และเงินลงทุนในตราสารหนี้ที่วัดมูลค่าด้วยราคาทุนตัดจำหน่าย ซึ่งรวมถึงเงินลงทุนในลูกหนี้ที่จัดประเภทเป็นเงินลงทุนดังกล่าวด้วย รวมทั้งกำไร (ขาดทุน) จากการตัดรายการเงินลงทุนในบริษัทย่อยและบริษัทร่วม และขาดทุนจากการด้อยค่าของเงินลงทุนในบริษัทย่อยและบริษัทร่วม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EE49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0018AE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012A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AEE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6C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 (ขาดทุน) จากการตัดรายการ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3C2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 ทั้งเงินลงทุนที่วัดมูลค่าด้วยมูลค่ายุติธรรมผ่านกำไรขาดทุนเบ็ดเสร็จอื่น เงินลงทุนที่วัดมูลค่าด้วยราคาทุนตัดจำหน่าย 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7700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681AB1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3B33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2B0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EAC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735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0E79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E578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3F64B9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8E71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76A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5B2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A8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12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E9B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จากการตัดรายการเงินลงทุนในตราสารหนี้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181BF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A16B85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BDDC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B71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BC2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0DF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AF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E964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C2C54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47CE375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A9C38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E22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C2B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145E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6264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C06422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379D57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E71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4F0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A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2C0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52C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AF45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จากการตัดรายการเงินลงทุนในตราสารหนี้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2BB98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B8DA6C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FF63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03A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5E6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2DE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9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เงินลงทุนในลูกหนี้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F3F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จากการตัดรายการเงินลงทุนในลูกหนี้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C6468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435E0C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44F1E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1B05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6EF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1BC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553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9CA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A546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48EBF96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FCCA2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2D7F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3C3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F05A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87B8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BBC7C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46AACEE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CAE1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C19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3055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0FC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8E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24F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6534E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A85428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CFE6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50F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503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3F8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3DE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3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9BE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จากการตัดรายการเงินลงทุนในบริษัทร่วม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466B0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0717C4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557A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1A6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2D92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ขาดทุนจากการด้อยค่าของเงินลงทุนในบริษัทย่อยและบริษัทร่วม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0D3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F1E7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B26083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B8E6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497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813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2318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302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17550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DF90D5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153C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3E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FAF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C39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E5AB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ขาดทุนจากการด้อยค่าของเงินลงทุนในบริษัทร่วม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CDEB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78C86D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827E6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920593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90D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7</w:t>
            </w:r>
            <w:r w:rsidRPr="00B472C5">
              <w:rPr>
                <w:color w:val="00B050"/>
                <w:cs/>
              </w:rPr>
              <w:t>. ส่วนแบ่งกำไร (ขาดทุน) จากเงินลงทุนตามวิธีส่วนได้เสีย *</w:t>
            </w:r>
            <w:proofErr w:type="gramStart"/>
            <w:r w:rsidRPr="00B472C5">
              <w:rPr>
                <w:color w:val="00B050"/>
                <w:cs/>
              </w:rPr>
              <w:t>*[</w:t>
            </w:r>
            <w:proofErr w:type="gramEnd"/>
            <w:r w:rsidRPr="00B472C5">
              <w:rPr>
                <w:color w:val="00B050"/>
                <w:cs/>
              </w:rPr>
              <w:t xml:space="preserve">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8F27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ส่วนแบ่งกำไร (ขาดทุน) จากเงินลงทุนในบริษัทที่สถาบันการเงินลงทุนถือไว้และเข้าข่ายตามมาตรฐานการบัญชีและมาตรฐานการรายงานทางการเงินที่เกี่ยวข้อง ที่ต้องบันทึกเงินลงทุนดังกล่าวตามวิธีส่วนได้เสีย (เฉพาะกรณีการจัดทำงบการเงินรวม)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BA74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E8F47F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E97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004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8</w:t>
            </w:r>
            <w:r w:rsidRPr="00B472C5">
              <w:rPr>
                <w:color w:val="00B050"/>
                <w:cs/>
              </w:rPr>
              <w:t xml:space="preserve">. 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B30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3534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A630CC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C912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B23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5FCC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กำไรจากการขายทรัพย์สินรอการขายและสินทรัพย์อื่น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EFE5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9.6.2 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F170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51996A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EE39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FDD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4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C88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จำนวนที่ได้รับคืนจากรายการตัดบัญชีลูกหนี้เงินให้สินเชื่อที่ได้ตัดออกจากบัญชี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74136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89671E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B694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99B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502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รายได้จากเงินปันผล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D4BF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95F3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1B7C63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9CC29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14D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542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C7DA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28E3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8A3146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3B7F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920599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4E3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 xml:space="preserve">. ค่าใช้จ่ายจากการดำเนินงานอื่น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D07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3CBE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4B929F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52439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84D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C95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396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433E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A3BB1F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8B05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872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1BF0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0A99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EDC0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2D6B30F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2623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3FB2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73F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437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ค่าเสื่อมราคา ขาดทุนจากการด้อยค่า ค่าเช่า ค่าซ่อมแซม ค่าบริการในการบำรุงรักษา ค่าเบี้ยประกันภัย 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3.14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2873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1CAFB9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4131B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15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F64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360F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12 ภาษีเงินได้ ภาษีที่ดินและโรงเรือนสำหรับที่ทำการ  ซึ่งกำหนดให้แสดงไว้ในรายการที่ 9.3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9.1 ค่าใช้จ่ายเกี่ยวกับพนักงาน และรายการที่ 9.2 ค่าตอบแทนกรรมการแล้ว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8972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57EAFE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21F2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DDF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8A1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ค่าใช้จ่ายด้านเทคโนโลยีสารสนเทศ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FC4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B472C5">
              <w:rPr>
                <w:color w:val="00B050"/>
              </w:rPr>
              <w:t>operating system</w:t>
            </w:r>
            <w:r w:rsidRPr="00B472C5">
              <w:rPr>
                <w:color w:val="00B050"/>
                <w:cs/>
              </w:rPr>
              <w:t>) ระบบงาน (</w:t>
            </w:r>
            <w:r w:rsidRPr="00B472C5">
              <w:rPr>
                <w:color w:val="00B050"/>
              </w:rPr>
              <w:t>application system</w:t>
            </w:r>
            <w:r w:rsidRPr="00B472C5">
              <w:rPr>
                <w:color w:val="00B050"/>
                <w:cs/>
              </w:rPr>
              <w:t>) ระบบฐานข้อมูล (</w:t>
            </w:r>
            <w:r w:rsidRPr="00B472C5">
              <w:rPr>
                <w:color w:val="00B050"/>
              </w:rPr>
              <w:t>database system</w:t>
            </w:r>
            <w:r w:rsidRPr="00B472C5">
              <w:rPr>
                <w:color w:val="00B050"/>
                <w:cs/>
              </w:rPr>
              <w:t>) อุปกรณ์คอมพิวเตอร์ (</w:t>
            </w:r>
            <w:r w:rsidRPr="00B472C5">
              <w:rPr>
                <w:color w:val="00B050"/>
              </w:rPr>
              <w:t>hardware</w:t>
            </w:r>
            <w:r w:rsidRPr="00B472C5">
              <w:rPr>
                <w:color w:val="00B050"/>
                <w:cs/>
              </w:rPr>
              <w:t>) และระบบเครือข่ายสื่อสาร (</w:t>
            </w:r>
            <w:r w:rsidRPr="00B472C5">
              <w:rPr>
                <w:color w:val="00B050"/>
              </w:rPr>
              <w:t>communication</w:t>
            </w:r>
            <w:r w:rsidRPr="00B472C5">
              <w:rPr>
                <w:color w:val="00B050"/>
                <w:cs/>
              </w:rPr>
              <w:t xml:space="preserve">) รวมถึง ค่าใช้จ่ายจาก </w:t>
            </w:r>
            <w:r w:rsidRPr="00B472C5">
              <w:rPr>
                <w:color w:val="00B050"/>
              </w:rPr>
              <w:t xml:space="preserve">IT outsourcing </w:t>
            </w:r>
            <w:r w:rsidRPr="00B472C5">
              <w:rPr>
                <w:color w:val="00B050"/>
                <w:cs/>
              </w:rPr>
              <w:t xml:space="preserve">ค่าใช้จ่ายเกี่ยวกับ </w:t>
            </w:r>
            <w:r w:rsidRPr="00B472C5">
              <w:rPr>
                <w:color w:val="00B050"/>
              </w:rPr>
              <w:t xml:space="preserve">IT </w:t>
            </w:r>
            <w:r w:rsidRPr="00B472C5">
              <w:rPr>
                <w:color w:val="00B050"/>
              </w:rPr>
              <w:lastRenderedPageBreak/>
              <w:t xml:space="preserve">license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 xml:space="preserve">software program </w:t>
            </w:r>
            <w:r w:rsidRPr="00B472C5">
              <w:rPr>
                <w:color w:val="00B050"/>
                <w:cs/>
              </w:rPr>
              <w:t xml:space="preserve">ค่าเช่าและค่าบำรุงรักษาอุปกรณ์ด้าน </w:t>
            </w:r>
            <w:r w:rsidRPr="00B472C5">
              <w:rPr>
                <w:color w:val="00B050"/>
              </w:rPr>
              <w:t xml:space="preserve">IT </w:t>
            </w:r>
            <w:r w:rsidRPr="00B472C5">
              <w:rPr>
                <w:color w:val="00B050"/>
                <w:cs/>
              </w:rPr>
              <w:t xml:space="preserve">ค่าเสื่อมราคา การด้อยค่าของระบบ </w:t>
            </w:r>
            <w:r w:rsidRPr="00B472C5">
              <w:rPr>
                <w:color w:val="00B050"/>
              </w:rPr>
              <w:t xml:space="preserve">IT </w:t>
            </w:r>
            <w:r w:rsidRPr="00B472C5">
              <w:rPr>
                <w:color w:val="00B050"/>
                <w:cs/>
              </w:rPr>
              <w:t>และค่าใช้จ่ายอื่น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EAAE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1928BD2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2E87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209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77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66D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ค่าใช้จ่ายที่เกี่ยวข้องกับเทคโนโลยีสารสนเทศ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06B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B472C5">
              <w:rPr>
                <w:color w:val="00B050"/>
              </w:rPr>
              <w:t>operating system</w:t>
            </w:r>
            <w:r w:rsidRPr="00B472C5">
              <w:rPr>
                <w:color w:val="00B050"/>
                <w:cs/>
              </w:rPr>
              <w:t>) ระบบงาน (</w:t>
            </w:r>
            <w:r w:rsidRPr="00B472C5">
              <w:rPr>
                <w:color w:val="00B050"/>
              </w:rPr>
              <w:t>application system</w:t>
            </w:r>
            <w:r w:rsidRPr="00B472C5">
              <w:rPr>
                <w:color w:val="00B050"/>
                <w:cs/>
              </w:rPr>
              <w:t>) ระบบฐานข้อมูล (</w:t>
            </w:r>
            <w:r w:rsidRPr="00B472C5">
              <w:rPr>
                <w:color w:val="00B050"/>
              </w:rPr>
              <w:t>database system</w:t>
            </w:r>
            <w:r w:rsidRPr="00B472C5">
              <w:rPr>
                <w:color w:val="00B050"/>
                <w:cs/>
              </w:rPr>
              <w:t>) อุปกรณ์คอมพิวเตอร์ (</w:t>
            </w:r>
            <w:r w:rsidRPr="00B472C5">
              <w:rPr>
                <w:color w:val="00B050"/>
              </w:rPr>
              <w:t>hardware</w:t>
            </w:r>
            <w:r w:rsidRPr="00B472C5">
              <w:rPr>
                <w:color w:val="00B050"/>
                <w:cs/>
              </w:rPr>
              <w:t>) และระบบเครือข่ายสื่อสาร (</w:t>
            </w:r>
            <w:r w:rsidRPr="00B472C5">
              <w:rPr>
                <w:color w:val="00B050"/>
              </w:rPr>
              <w:t>communication</w:t>
            </w:r>
            <w:r w:rsidRPr="00B472C5">
              <w:rPr>
                <w:color w:val="00B050"/>
                <w:cs/>
              </w:rPr>
              <w:t xml:space="preserve">) รวมถึง ค่าใช้จ่ายจาก </w:t>
            </w:r>
            <w:r w:rsidRPr="00B472C5">
              <w:rPr>
                <w:color w:val="00B050"/>
              </w:rPr>
              <w:t xml:space="preserve">IT outsourcing </w:t>
            </w:r>
            <w:r w:rsidRPr="00B472C5">
              <w:rPr>
                <w:color w:val="00B050"/>
                <w:cs/>
              </w:rPr>
              <w:t xml:space="preserve">ค่าใช้จ่ายเกี่ยวกับ </w:t>
            </w:r>
            <w:r w:rsidRPr="00B472C5">
              <w:rPr>
                <w:color w:val="00B050"/>
              </w:rPr>
              <w:t xml:space="preserve">IT license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 xml:space="preserve">software program </w:t>
            </w:r>
            <w:r w:rsidRPr="00B472C5">
              <w:rPr>
                <w:color w:val="00B050"/>
                <w:cs/>
              </w:rPr>
              <w:t xml:space="preserve">ค่าเช่าและค่าบำรุงรักษาอุปกรณ์ด้าน </w:t>
            </w:r>
            <w:r w:rsidRPr="00B472C5">
              <w:rPr>
                <w:color w:val="00B050"/>
              </w:rPr>
              <w:t xml:space="preserve">IT </w:t>
            </w:r>
            <w:r w:rsidRPr="00B472C5">
              <w:rPr>
                <w:color w:val="00B050"/>
                <w:cs/>
              </w:rPr>
              <w:t>และค่าใช้จ่ายอื่น ๆ ที่เกี่ยวข้อง นอกเหนือจากรายการค่าเสื่อมราคาและค่าจัดจำหน่ายที่เกี่ยวข้องกับเทคโนโลยีสารสนเทศ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1E803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686621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EE5E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5CDC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13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7E06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ค่าเสื่อมราคาและค่าตัดจำหน่าย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79196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ค่าเสื่อมราคาและค่าตัดจำหน่ายที่เกี่ยวข้องกับเทคโนโลยีสารสนเทศ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1390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D71E6B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6DF94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1DC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2AE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63AE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กรณีที่ยอดดุลสุทธิของแต่ละรายการเป็นผลกำไรให้นำไปแสดงไว้ในรายการที่ 8.4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21F99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674176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AD86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EEB3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2C6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BE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ผลเสียหายจากการทุจริตของพนักงาน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93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4A53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3C7980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B1FE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F26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5C3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8E1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85F6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8.1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4F3C42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A90F26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2110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0A6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4BB3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C19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ขาดทุนจากการด้อยค่าทรัพย์สินรอการขายและสินทรัพย์อื่น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56F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1BEC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450D84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B0E51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069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614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33D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ค่าใช้จ่ายจากการกันเงินสำรองรายการนอกงบแสดงฐานะการเงิน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A14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B472C5">
              <w:rPr>
                <w:color w:val="00B050"/>
              </w:rPr>
              <w:t>Credit Conversion Factor</w:t>
            </w:r>
            <w:r w:rsidRPr="00B472C5">
              <w:rPr>
                <w:color w:val="00B050"/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61217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5A8814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868A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391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740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8D9D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5</w:t>
            </w:r>
            <w:r w:rsidRPr="00B472C5">
              <w:rPr>
                <w:color w:val="00B050"/>
                <w:cs/>
              </w:rPr>
              <w:t xml:space="preserve"> ค่าใช้จ่ายเกี่ยวกับค่าความนิยมและสินทรัพย์ไม่มีตัวตนอื่น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AA4A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027752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0D2723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731C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8AF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045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D53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ค่าใช้จ่ายในการดำเนินงานอื่น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5623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203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71799A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7583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70A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 ผลขาดทุนด้านเครดิตที่คาดว่าจะเกิดขึ้น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A35B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ผลขาดทุนด้านเครดิตที่คาดว่าจะเกิดขึ้นใน 12 เดือนข้างหน้า (12-</w:t>
            </w:r>
            <w:r w:rsidRPr="00B472C5">
              <w:rPr>
                <w:color w:val="00B050"/>
              </w:rPr>
              <w:t>month expected credit loss</w:t>
            </w:r>
            <w:r w:rsidRPr="00B472C5">
              <w:rPr>
                <w:color w:val="00B050"/>
                <w:cs/>
              </w:rPr>
              <w:t>) และผลขาดทุนด้านเครดิตที่คาดว่าจะเกิดขึ้นตลอดอายุของเครื่องมือทางการเงิน (</w:t>
            </w:r>
            <w:r w:rsidRPr="00B472C5">
              <w:rPr>
                <w:color w:val="00B050"/>
              </w:rPr>
              <w:t>lifetime expected credit loss</w:t>
            </w:r>
            <w:r w:rsidRPr="00B472C5">
              <w:rPr>
                <w:color w:val="00B050"/>
                <w:cs/>
              </w:rPr>
              <w:t>) ของเครื่องมือทางการเงินที่วัดมูลค่าด้วยราคาทุนตัดจำหน่าย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 สินทรัพย์ตามสัญญา รวมทั้งภาระผูกพันวงเงินสินเชื่อและสัญญาค้ำประกันทางการเงิน รวมทั้งผลกำไรหรือผลขาดทุนจากการเปลี่ยนแปลงเงื่อนไขใหม่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EDFD3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FB74E4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6E1C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68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C6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9652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B8FC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F4B8FE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4318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248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5DCA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DE8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C13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รายการระหว่างธนาคารและตลาดเงินที่ได้ติดตามทวงถามจนถึงที่สุด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9EC5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4986E2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DC7E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E3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9C9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5B4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4C5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จำนวนที่กันไว้สำหรับส่วนที่คาดว่าจะไม่ได้รับสำหรับรายการระหว่างธนาคารและตลาดเงิน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99993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BF7504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C5F8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375A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5F6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B68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776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4AF71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AEEB13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CFA2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CD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629D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10CE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9D3C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0EC0B1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126E9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9736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CA9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เงินลงทุนในตราสารหนี้ที่วัดมูลค่าด้วยราคาทุนตัดจำหน่าย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656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7E861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740A98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720A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D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E310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CA5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226A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BE7E90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B4A55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7D9C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A01E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7E2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DB03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3E58F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5C8606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4721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92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EC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224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EBD8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จำนวนที่กันไว้สำหรับส่วนที่คาดว่าจะไม่ได้รับสำหรับเงินให้สินเชื่อและดอกเบี้ยค้างรับ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EAABA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C5DA6A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26A8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F8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9DF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8FD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02E6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D23A7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C46636B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CECD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909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C0A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10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DF1E3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97E55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DC411E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60E2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8BD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11</w:t>
            </w:r>
            <w:r w:rsidRPr="00B472C5">
              <w:rPr>
                <w:color w:val="00B050"/>
                <w:cs/>
              </w:rPr>
              <w:t xml:space="preserve">. กำไร (ขาดทุน) จากการดำเนินงานก่อนภาษีเงินได้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ACE7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ยอดรวมรายได้หักด้วยยอดรวมค่าใช้จ่าย หลังหักผลขาดทุนด้านเครดิตที่คาดว่าจะเกิดขึ้น แต่ก่อนหักภาษีเงินได้ หากมีผลขาดทุนให้แสดงเครื่องหมาย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B94B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1E25811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F0CA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8FDB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12</w:t>
            </w:r>
            <w:r w:rsidRPr="00B472C5">
              <w:rPr>
                <w:color w:val="00B050"/>
                <w:cs/>
              </w:rPr>
              <w:t xml:space="preserve">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9EF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3DD6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BF793F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596A3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D1C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9BE3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ภาษีเงินได้ปัจจุบัน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4242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6CD1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07F55C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F40C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D28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1E20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ภาษีเงินได้รอตัดบัญชี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A195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3BDC4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78F861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0BBC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A56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13</w:t>
            </w:r>
            <w:r w:rsidRPr="00B472C5">
              <w:rPr>
                <w:color w:val="00B050"/>
                <w:cs/>
              </w:rPr>
              <w:t xml:space="preserve">. กำไร (ขาดทุน) สุทธิ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BE575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</w:p>
          <w:p w14:paraId="5A28A3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0FA73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1575F5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17B2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7C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 xml:space="preserve">. กำไร (ขาดทุน) เบ็ดเสร็จอื่น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198A1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D43DE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14C7E3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F195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FE4A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36E6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 xml:space="preserve"> รายการที่จัดประเภทรายการใหม่เข้าไปไว้ในกำไรหรือขาดทุนในภายหลัง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4E2A0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AEF72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1507F1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93D9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1C0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B06E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4262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 </w:t>
            </w:r>
            <w:r w:rsidRPr="00B472C5">
              <w:rPr>
                <w:color w:val="00B050"/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891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 ตามที่กำหนดในมาตรฐานการบัญชีและมาตรฐานการรายงานทางการเงินที่เกี่ยวข้อง ซึ่งไม่รวมผลขาดทุนด้านเครดิตที่คาดว่าจะเกิดขึ้น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E806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00D53F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27FA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8CB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4912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14C4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 </w:t>
            </w:r>
            <w:r w:rsidRPr="00B472C5">
              <w:rPr>
                <w:color w:val="00B050"/>
                <w:cs/>
              </w:rPr>
              <w:t>กำไร (ขาดทุน) จากการวัดมูลค่ายุติธรรมเครื่องมือที่ใช้สำหรับการป้องกันความเสี่ยงในกระแสเงินสด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801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จากการวัดมูลค่ายุติธรรมเครื่องมือที่ใช้ป้องกันความเสี่ยงในกระแสเงินสด  เฉพาะส่วนที่มีประสิทธิผลที่จะต้องแสดงในส่วนของเจ้าของตามที่กำหนดในมาตรฐานการบัญชีและมาตรฐานการรายงานทางการเงินที่เกี่ยวข้อง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4736C7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7A4BC5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5A5B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ACAF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A1CC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E18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 </w:t>
            </w:r>
            <w:r w:rsidRPr="00B472C5">
              <w:rPr>
                <w:color w:val="00B050"/>
                <w:cs/>
              </w:rPr>
              <w:t>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5C2D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จากการแปลงค่างบการเงินจากการดำเนินงานในต่างประเทศ รวมถึงกำไร(ขาดทุน) จากการวัดมูลค่ายุติธรรมเครื่องมือที่ใช้ป้องกันความเสี่ยงของเงินลงทุนสุทธิในหน่วยงานต่างประเทศ เฉพาะส่วนที่มีประสิทธิผล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EC9E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EEDA2E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DB62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8E8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7378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A77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 </w:t>
            </w:r>
            <w:r w:rsidRPr="00B472C5">
              <w:rPr>
                <w:color w:val="00B050"/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1D02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DC1A6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8535FC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8F6EA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5DF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1A1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52A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 </w:t>
            </w:r>
            <w:r w:rsidRPr="00B472C5">
              <w:rPr>
                <w:color w:val="00B05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FD88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21FF7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DB3D80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8F7CA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D5D6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4BF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 </w:t>
            </w:r>
            <w:r w:rsidRPr="00B472C5">
              <w:rPr>
                <w:color w:val="00B050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A32D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006D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BAD542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7432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19E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C86F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B0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 </w:t>
            </w:r>
            <w:r w:rsidRPr="00B472C5">
              <w:rPr>
                <w:color w:val="00B050"/>
                <w:cs/>
              </w:rPr>
              <w:t>การเปลี่ยนแปลงในส่วนเกินทุนจากการตีราคาสินทรัพย์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A66C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การเปลี่ยนแปลงในส่วนเกินทุนจากการตีราคาสินทรัพย์ ตามที่กำหนดในมาตรฐานการบัญชี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EA06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813A38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8265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1AAE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058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39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 </w:t>
            </w:r>
            <w:r w:rsidRPr="00B472C5">
              <w:rPr>
                <w:color w:val="00B050"/>
                <w:cs/>
              </w:rPr>
              <w:t>กำไร (ขาดทุน) 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6F36F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เปลี่ยนแปลงในมูลค่ายุติธรรมของ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BD3A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6420A5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7567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19F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F9C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5E1D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 </w:t>
            </w:r>
            <w:r w:rsidRPr="00B472C5">
              <w:rPr>
                <w:color w:val="00B050"/>
                <w:cs/>
              </w:rPr>
              <w:t>กำไร (ขาดทุน) จากหนี้สินทางการเงินที่กำหนดให้วัดมูลค่าด้วยมูลค่ายุติธรรมผ่านกำไรหรือขาดทุนอันเนื่องมาจากความเสี่ยง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59F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เปลี่ยนแปลงในมูลค่ายุติธรรมของหนี้สินทางการเงินที่กำหนดให้วัดมูลค่าด้วยมูลค่ายุติธรรมผ่านกำไรหรือขาดทุน เฉพาะส่วนที่เป็นผลจากการเปลี่ยนแปลงความเสี่ยงด้านเครดิตของหนี้สินทางการเงินนั้น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AF9DB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126005A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92710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7352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F96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62A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 </w:t>
            </w:r>
            <w:r w:rsidRPr="00B472C5">
              <w:rPr>
                <w:color w:val="00B050"/>
                <w:cs/>
              </w:rPr>
              <w:t xml:space="preserve">กำไร (ขาดทุน) จากการประมาณการตามหลักคณิตศาสตร์ประกันภัยสำหรับโครงการผลประโยชน์ของพนักงาน 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F59E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 (ขาดทุน) จากการประมาณการตามหลักคณิตศาสตร์ประกันภัย ตามโครงการผลประโยชน์ของพนักงานตามที่กำหนดในมาตรฐานการบัญชี ฉบับที่ 19 เรื่องผลประโยชน์ของพนักงาน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2F5A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55B182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E82E8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D9C8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9CD5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6E4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 </w:t>
            </w:r>
            <w:r w:rsidRPr="00B472C5">
              <w:rPr>
                <w:color w:val="00B050"/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CC2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A299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57E9679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BB02F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920644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C78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57D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44B7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14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 </w:t>
            </w:r>
            <w:r w:rsidRPr="00B472C5">
              <w:rPr>
                <w:color w:val="00B05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0B88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73DCC5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1299691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3775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0106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15</w:t>
            </w:r>
            <w:r w:rsidRPr="00B472C5">
              <w:rPr>
                <w:color w:val="00B050"/>
                <w:cs/>
              </w:rPr>
              <w:t xml:space="preserve">. กำไร (ขาดทุน) เบ็ดเสร็จรวม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C0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ผลรวมของกำไร (ขาดทุน) สุทธิ และกำไร (ขาดทุน) เบ็ดเสร็จอื่น ตามที่กำหนดในมาตรฐานการบัญชี ฉบับที่ 1 เรื่องการนำเสนองบการเงิน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E095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F11AAC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621F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E700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16</w:t>
            </w:r>
            <w:r w:rsidRPr="00B472C5">
              <w:rPr>
                <w:color w:val="00B050"/>
                <w:cs/>
              </w:rPr>
              <w:t xml:space="preserve">. การแบ่งปันกำไร (ขาดทุน) สุทธิ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C74D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A393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547E2A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D260A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9D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A0F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47129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A223E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0CBD98B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CE1D8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3C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676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16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FBE13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AA5F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2ECD807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97C5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920649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8201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17</w:t>
            </w:r>
            <w:r w:rsidRPr="00B472C5">
              <w:rPr>
                <w:color w:val="00B050"/>
                <w:cs/>
              </w:rPr>
              <w:t xml:space="preserve">. การแบ่งปันกำไร (ขาดทุน) เบ็ดเสร็จรวม [เฉพาะ </w:t>
            </w:r>
            <w:proofErr w:type="spellStart"/>
            <w:r w:rsidRPr="00B472C5">
              <w:rPr>
                <w:color w:val="00B050"/>
              </w:rPr>
              <w:t>Conso</w:t>
            </w:r>
            <w:proofErr w:type="spellEnd"/>
            <w:r w:rsidRPr="00B472C5">
              <w:rPr>
                <w:color w:val="00B050"/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512A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E9CF97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B8E415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C525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A81A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D75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17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5982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A9F4E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C51992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6D5D7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703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D65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17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C5F0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5927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2E50881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6E566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920652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555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18</w:t>
            </w:r>
            <w:r w:rsidRPr="00B472C5">
              <w:rPr>
                <w:color w:val="00B050"/>
                <w:cs/>
              </w:rPr>
              <w:t>. กำไร (ขาดทุน) ต่อหุ้นของผู้ถือหุ้นบริษัทใหญ่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CCD74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 xml:space="preserve">กำไร (ขาดทุน) ส่วนที่เป็นของผู้ถือหุ้น  ตามรายการที่ 13 กำไร (ขาดทุน) สุทธิ  ที่คำนวณตามที่กำหนดในมาตรฐานการบัญชี ฉบับที่ 33 เรื่องกำไรต่อหุ้น โดยแยกแสดงตามที่มาตรฐานการบัญชีกำหนด หากมีผลขาดทุนสุทธิให้แสดงเครื่องหมาย “ - “ (ลบ) ไว้หน้าจำนวนเงิน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6C56F3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37A298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82803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DF3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A466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BE8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CB5B4C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1D67FB4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9825B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B91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993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18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6F3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C324D0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43D00CF9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1FCA1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841B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19</w:t>
            </w:r>
            <w:r w:rsidRPr="00B472C5">
              <w:rPr>
                <w:color w:val="00B050"/>
                <w:cs/>
              </w:rPr>
              <w:t xml:space="preserve">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1D41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574A7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63F8B69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8E753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380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20</w:t>
            </w:r>
            <w:r w:rsidRPr="00B472C5">
              <w:rPr>
                <w:color w:val="00B050"/>
                <w:cs/>
              </w:rPr>
              <w:t xml:space="preserve">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FCB7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DCCDB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D03BD6" w:rsidRPr="00E34E86" w14:paraId="30F4EB6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8282B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CC2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B472C5">
              <w:rPr>
                <w:color w:val="00B050"/>
              </w:rPr>
              <w:t xml:space="preserve">FI Reporting Group Id </w:t>
            </w:r>
            <w:r w:rsidRPr="00B472C5">
              <w:rPr>
                <w:color w:val="00B050"/>
                <w:cs/>
              </w:rPr>
              <w:t xml:space="preserve">= </w:t>
            </w:r>
            <w:r w:rsidRPr="00B472C5">
              <w:rPr>
                <w:color w:val="00B050"/>
              </w:rPr>
              <w:t xml:space="preserve">116005 </w:t>
            </w:r>
            <w:r w:rsidRPr="00B472C5">
              <w:rPr>
                <w:color w:val="00B050"/>
                <w:cs/>
              </w:rPr>
              <w:t xml:space="preserve">และ </w:t>
            </w:r>
            <w:r w:rsidRPr="00B472C5">
              <w:rPr>
                <w:color w:val="00B050"/>
              </w:rPr>
              <w:t>116006</w:t>
            </w:r>
            <w:r w:rsidRPr="00B472C5">
              <w:rPr>
                <w:color w:val="00B050"/>
                <w:cs/>
              </w:rPr>
              <w:t>] เท่านั้น)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CA32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CB05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3D2B00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F73E9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9B4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B28D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รายได้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8B56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รายได้ระหว่างกัน 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5044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151637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B7BC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6EB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B96F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C769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DB93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8898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4D8E09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61175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8E8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F414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8B7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B7B8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21.1.1.1 เงินให้กู้ยืมแก่สำนักงานใหญ่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EEAC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 และส่วนลดจากเงินให้กู้ยืม แก่สำนักงานใหญ่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8163A7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96F694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2C38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6C8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1C98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DC3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CE03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21.1.1.2 เงินฝากที่สำนักงานใหญ่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5E0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9F7A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48937D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256E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815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B6C4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5CF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F475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21.1.1.3 เงินให้กู้ยืมแก่สาขาอื่น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A1ECD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6D79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56FB1E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2EECD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102D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6F34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FF0B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180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>เงินฝากที่สาขาอื่น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AC1C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18D9F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6C9714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09A3F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436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A7B7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FEF6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12F5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D126E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CDEB5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1B694B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0A4A2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C03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4E1C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66D6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FE7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C6C66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0B892E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732F6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775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88CB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C0EB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D7D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E20E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B66E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B5159E6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E864A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B735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42A9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3C5B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4E0E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C525E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4C1869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EE90123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F299A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D985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71C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212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4A5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6284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B50E0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0D8AB6D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DD4B4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E633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0650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0C50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ED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EAA3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058BFF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6D2A24C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353C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88EE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E349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7553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1DD0D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F262E8E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18CB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0C2D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EA07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E0B0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B099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5C39E8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D87D93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D4DD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0D89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1304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517E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4225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1 </w:t>
            </w:r>
            <w:r w:rsidRPr="00B472C5">
              <w:rPr>
                <w:color w:val="00B050"/>
                <w:cs/>
              </w:rPr>
              <w:t>เงินลงทุนของสำนักงานใหญ่ที่สาขาในต่างประเทศ(</w:t>
            </w:r>
            <w:r w:rsidRPr="00B472C5">
              <w:rPr>
                <w:color w:val="00B050"/>
              </w:rPr>
              <w:t>Fund Allocated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A70B0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5FAD4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7432E3C4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A5954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BE33D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61F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338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559A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>เงินกู้ยืมจากสำนักงานใหญ่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ACF11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ดอกเบี้ยเงินกู้ยืม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A23F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3DEA372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58CE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43403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C38A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5FEF7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30839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3 </w:t>
            </w:r>
            <w:r w:rsidRPr="00B472C5">
              <w:rPr>
                <w:color w:val="00B050"/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2F38E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ดอกเบี้ยเงินรับฝาก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4A6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1F457CA7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31053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1B65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C292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2997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AF0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4 </w:t>
            </w:r>
            <w:r w:rsidRPr="00B472C5">
              <w:rPr>
                <w:color w:val="00B050"/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F8D97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A907A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2B18D3E8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CBCE7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C5C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F5AC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AC8D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757DC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5 </w:t>
            </w:r>
            <w:r w:rsidRPr="00B472C5">
              <w:rPr>
                <w:color w:val="00B050"/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293D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EFC302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33C67FAC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863D4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8B584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846C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FC7C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04A26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6 </w:t>
            </w:r>
            <w:r w:rsidRPr="00B472C5">
              <w:rPr>
                <w:color w:val="00B050"/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995B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1FF9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064BF430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1CB81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EEC3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9247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E5CF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21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>2</w:t>
            </w:r>
            <w:r w:rsidRPr="00B472C5">
              <w:rPr>
                <w:color w:val="00B050"/>
                <w:cs/>
              </w:rPr>
              <w:t>.</w:t>
            </w:r>
            <w:r w:rsidRPr="00B472C5">
              <w:rPr>
                <w:color w:val="00B050"/>
              </w:rPr>
              <w:t xml:space="preserve">2 </w:t>
            </w:r>
            <w:r w:rsidRPr="00B472C5">
              <w:rPr>
                <w:color w:val="00B050"/>
                <w:cs/>
              </w:rPr>
              <w:t xml:space="preserve">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07F91B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C88E1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54BAF90F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37DC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lastRenderedPageBreak/>
              <w:t>920679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FDF2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2CE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909F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FE1C1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21.2.2.1 ค่าจัดการ(</w:t>
            </w:r>
            <w:r w:rsidRPr="00B472C5">
              <w:rPr>
                <w:color w:val="00B050"/>
              </w:rPr>
              <w:t>Management Fee</w:t>
            </w:r>
            <w:r w:rsidRPr="00B472C5">
              <w:rPr>
                <w:color w:val="00B050"/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149C9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C7B016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D03BD6" w:rsidRPr="00E34E86" w14:paraId="45F87505" w14:textId="77777777" w:rsidTr="00D03BD6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3F19D5A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</w:rPr>
              <w:t>920680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2E449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090B00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6F7CBCE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525848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</w:rPr>
            </w:pPr>
            <w:r w:rsidRPr="00B472C5">
              <w:rPr>
                <w:color w:val="00B050"/>
                <w:cs/>
              </w:rPr>
              <w:t>21.2.2.2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1118FB5" w14:textId="77777777" w:rsidR="00D03BD6" w:rsidRPr="00B472C5" w:rsidRDefault="00D03BD6" w:rsidP="00D03BD6">
            <w:pPr>
              <w:spacing w:before="120" w:line="360" w:lineRule="auto"/>
              <w:rPr>
                <w:color w:val="00B050"/>
                <w:cs/>
              </w:rPr>
            </w:pPr>
            <w:r w:rsidRPr="00B472C5">
              <w:rPr>
                <w:color w:val="00B050"/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9C2EC84" w14:textId="77777777" w:rsidR="00D03BD6" w:rsidRPr="00B472C5" w:rsidRDefault="00D03BD6" w:rsidP="00D03BD6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</w:tbl>
    <w:p w14:paraId="484FF041" w14:textId="77777777" w:rsidR="00D03BD6" w:rsidRPr="00D03BD6" w:rsidRDefault="00D03BD6" w:rsidP="002239B5">
      <w:pPr>
        <w:rPr>
          <w:rFonts w:eastAsia="Calibri"/>
          <w:color w:val="0000FF"/>
          <w:cs/>
        </w:rPr>
      </w:pPr>
    </w:p>
    <w:sectPr w:rsidR="00D03BD6" w:rsidRPr="00D03BD6" w:rsidSect="000108A0">
      <w:headerReference w:type="even" r:id="rId16"/>
      <w:headerReference w:type="default" r:id="rId17"/>
      <w:headerReference w:type="first" r:id="rId18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5C156" w14:textId="77777777" w:rsidR="00BD3CEB" w:rsidRDefault="00BD3CEB" w:rsidP="000108A0">
      <w:r>
        <w:separator/>
      </w:r>
    </w:p>
  </w:endnote>
  <w:endnote w:type="continuationSeparator" w:id="0">
    <w:p w14:paraId="2AA2DCA1" w14:textId="77777777" w:rsidR="00BD3CEB" w:rsidRDefault="00BD3CEB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D03BD6" w:rsidRDefault="00D03BD6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D03BD6" w:rsidRPr="00ED2354" w:rsidRDefault="00D03BD6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11189F54" w14:textId="54108C08" w:rsidR="00D03BD6" w:rsidRDefault="00D03BD6" w:rsidP="00682F16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 w:rsidR="00B64A46">
                            <w:t>1.3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D03BD6" w:rsidRPr="00ED2354" w:rsidRDefault="00D03BD6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11189F54" w14:textId="54108C08" w:rsidR="00D03BD6" w:rsidRDefault="00D03BD6" w:rsidP="00682F16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 w:rsidR="00B64A46">
                      <w:t>1.3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D03BD6" w:rsidRPr="00ED2354" w:rsidRDefault="00D03BD6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D03BD6" w:rsidRPr="00ED2354" w:rsidRDefault="00D03BD6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D03BD6" w:rsidRPr="00ED2354" w:rsidRDefault="00D03BD6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D03BD6" w:rsidRPr="00ED2354" w:rsidRDefault="00D03BD6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0F323E" w:rsidRPr="000F323E">
      <w:rPr>
        <w:b/>
        <w:noProof/>
      </w:rPr>
      <w:t>3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D03BD6" w:rsidRDefault="00D03BD6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D03BD6" w:rsidRPr="00ED2354" w:rsidRDefault="00D03BD6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73615219" w14:textId="621E8F06" w:rsidR="00D03BD6" w:rsidRDefault="00D03BD6" w:rsidP="000108A0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 w:rsidR="00B64A46">
                            <w:t>1.3</w:t>
                          </w:r>
                          <w:r w:rsidRPr="002239B5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D03BD6" w:rsidRPr="00ED2354" w:rsidRDefault="00D03BD6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73615219" w14:textId="621E8F06" w:rsidR="00D03BD6" w:rsidRDefault="00D03BD6" w:rsidP="000108A0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 w:rsidR="00B64A46">
                      <w:t>1.3</w:t>
                    </w:r>
                    <w:r w:rsidRPr="002239B5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D03BD6" w:rsidRPr="00ED2354" w:rsidRDefault="00D03BD6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D03BD6" w:rsidRPr="00ED2354" w:rsidRDefault="00D03BD6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Jwg4r3QAAAAkBAAAPAAAAZHJzL2Rvd25yZXYueG1sTI/BTsMwEETvSPyDtUjcWrsloRCyqRCI&#10;K6iFVuLmJtskIl5HsduEv2c5wXG1o5n38vXkOnWmIbSeERZzA4q49FXLNcLH+8vsDlSIlivbeSaE&#10;bwqwLi4vcptVfuQNnbexVlLCIbMITYx9pnUoG3I2zH1PLL+jH5yNcg61rgY7Srnr9NKYW+1sy7LQ&#10;2J6eGiq/tieHsHs9fu4T81Y/u7Qf/WQ0u3uNeH01PT6AijTFvzD84gs6FMJ08CeuguoQ0tVSkgiz&#10;ZCVOEkhMKi4HhJuFAV3k+r9B8QM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Jwg4r&#10;3QAAAAkBAAAPAAAAAAAAAAAAAAAAABMFAABkcnMvZG93bnJldi54bWxQSwUGAAAAAAQABADzAAAA&#10;HQYAAAAA&#10;" filled="f" stroked="f">
              <v:textbox>
                <w:txbxContent>
                  <w:p w14:paraId="094FC04E" w14:textId="77777777" w:rsidR="00D03BD6" w:rsidRPr="00ED2354" w:rsidRDefault="00D03BD6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D03BD6" w:rsidRPr="00ED2354" w:rsidRDefault="00D03BD6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54D46" w14:textId="77777777" w:rsidR="00BD3CEB" w:rsidRDefault="00BD3CEB" w:rsidP="000108A0">
      <w:r>
        <w:separator/>
      </w:r>
    </w:p>
  </w:footnote>
  <w:footnote w:type="continuationSeparator" w:id="0">
    <w:p w14:paraId="02472F60" w14:textId="77777777" w:rsidR="00BD3CEB" w:rsidRDefault="00BD3CEB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2FB24DDA" w:rsidR="00D03BD6" w:rsidRDefault="00D03BD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B28CF7B" w:rsidR="00D03BD6" w:rsidRDefault="00D03BD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C42BA" w14:textId="43C880FA" w:rsidR="00D03BD6" w:rsidRDefault="00D03BD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7E08DC7F" w:rsidR="00D03BD6" w:rsidRDefault="00D03BD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89E74" w14:textId="666174BE" w:rsidR="00D03BD6" w:rsidRDefault="00D03B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4F24A5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3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9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0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9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8"/>
  </w:num>
  <w:num w:numId="5">
    <w:abstractNumId w:val="19"/>
  </w:num>
  <w:num w:numId="6">
    <w:abstractNumId w:val="16"/>
  </w:num>
  <w:num w:numId="7">
    <w:abstractNumId w:val="10"/>
  </w:num>
  <w:num w:numId="8">
    <w:abstractNumId w:val="21"/>
  </w:num>
  <w:num w:numId="9">
    <w:abstractNumId w:val="22"/>
  </w:num>
  <w:num w:numId="10">
    <w:abstractNumId w:val="14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9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4"/>
  </w:num>
  <w:num w:numId="29">
    <w:abstractNumId w:val="20"/>
  </w:num>
  <w:num w:numId="30">
    <w:abstractNumId w:val="2"/>
  </w:num>
  <w:num w:numId="31">
    <w:abstractNumId w:val="23"/>
  </w:num>
  <w:num w:numId="32">
    <w:abstractNumId w:val="27"/>
  </w:num>
  <w:num w:numId="33">
    <w:abstractNumId w:val="15"/>
  </w:num>
  <w:num w:numId="34">
    <w:abstractNumId w:val="13"/>
  </w:num>
  <w:num w:numId="35">
    <w:abstractNumId w:val="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5D3C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841"/>
    <w:rsid w:val="0004366B"/>
    <w:rsid w:val="00044F83"/>
    <w:rsid w:val="000455BE"/>
    <w:rsid w:val="00050950"/>
    <w:rsid w:val="00051813"/>
    <w:rsid w:val="00052F75"/>
    <w:rsid w:val="00056751"/>
    <w:rsid w:val="00057C0C"/>
    <w:rsid w:val="0006219C"/>
    <w:rsid w:val="0006338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5E5B"/>
    <w:rsid w:val="000A68ED"/>
    <w:rsid w:val="000A7427"/>
    <w:rsid w:val="000B1FCA"/>
    <w:rsid w:val="000B2DE9"/>
    <w:rsid w:val="000B3E6D"/>
    <w:rsid w:val="000B71AD"/>
    <w:rsid w:val="000C45D0"/>
    <w:rsid w:val="000C4E22"/>
    <w:rsid w:val="000C7E79"/>
    <w:rsid w:val="000D1106"/>
    <w:rsid w:val="000D2DA9"/>
    <w:rsid w:val="000D635B"/>
    <w:rsid w:val="000E094E"/>
    <w:rsid w:val="000E1D35"/>
    <w:rsid w:val="000E3056"/>
    <w:rsid w:val="000E42F2"/>
    <w:rsid w:val="000E4700"/>
    <w:rsid w:val="000E7621"/>
    <w:rsid w:val="000F323E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3E8E"/>
    <w:rsid w:val="0019750A"/>
    <w:rsid w:val="001A0846"/>
    <w:rsid w:val="001A1CE1"/>
    <w:rsid w:val="001B1BB8"/>
    <w:rsid w:val="001B79D2"/>
    <w:rsid w:val="001C3CC1"/>
    <w:rsid w:val="001C4FAF"/>
    <w:rsid w:val="001C56DE"/>
    <w:rsid w:val="001C6B85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39B5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26CB"/>
    <w:rsid w:val="002B4108"/>
    <w:rsid w:val="002B4A1A"/>
    <w:rsid w:val="002B5326"/>
    <w:rsid w:val="002B7A03"/>
    <w:rsid w:val="002C1536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438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235E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6D67"/>
    <w:rsid w:val="003A1D07"/>
    <w:rsid w:val="003A3EEB"/>
    <w:rsid w:val="003A4B4C"/>
    <w:rsid w:val="003A57FA"/>
    <w:rsid w:val="003A5A3D"/>
    <w:rsid w:val="003B2E84"/>
    <w:rsid w:val="003B3B97"/>
    <w:rsid w:val="003B67F7"/>
    <w:rsid w:val="003C22E2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7B4C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25"/>
    <w:rsid w:val="00467977"/>
    <w:rsid w:val="0047498B"/>
    <w:rsid w:val="004751F5"/>
    <w:rsid w:val="004800F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4A97"/>
    <w:rsid w:val="004C699D"/>
    <w:rsid w:val="004D069D"/>
    <w:rsid w:val="004D366F"/>
    <w:rsid w:val="004D3CCE"/>
    <w:rsid w:val="004D41A4"/>
    <w:rsid w:val="004D5EC5"/>
    <w:rsid w:val="004D6CD0"/>
    <w:rsid w:val="004D745C"/>
    <w:rsid w:val="004D7B0D"/>
    <w:rsid w:val="004E2C8F"/>
    <w:rsid w:val="004E37A3"/>
    <w:rsid w:val="004E47F1"/>
    <w:rsid w:val="004E72B6"/>
    <w:rsid w:val="004E77E5"/>
    <w:rsid w:val="004F30A3"/>
    <w:rsid w:val="004F334F"/>
    <w:rsid w:val="004F352B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1F44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B7CB0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5F7C0C"/>
    <w:rsid w:val="005F7D95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0F3E"/>
    <w:rsid w:val="006754B5"/>
    <w:rsid w:val="006763FA"/>
    <w:rsid w:val="00680099"/>
    <w:rsid w:val="00682F16"/>
    <w:rsid w:val="00684762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466E"/>
    <w:rsid w:val="00745CEB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D5282"/>
    <w:rsid w:val="007D74EF"/>
    <w:rsid w:val="007E1001"/>
    <w:rsid w:val="007E2A8E"/>
    <w:rsid w:val="007E3239"/>
    <w:rsid w:val="007E4BE3"/>
    <w:rsid w:val="007E5636"/>
    <w:rsid w:val="007F0E04"/>
    <w:rsid w:val="007F2E1B"/>
    <w:rsid w:val="007F3D6D"/>
    <w:rsid w:val="007F42C9"/>
    <w:rsid w:val="007F470A"/>
    <w:rsid w:val="007F4CCC"/>
    <w:rsid w:val="007F7768"/>
    <w:rsid w:val="00801C86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7106"/>
    <w:rsid w:val="0083274A"/>
    <w:rsid w:val="0083279D"/>
    <w:rsid w:val="008360C8"/>
    <w:rsid w:val="0083688D"/>
    <w:rsid w:val="00840BED"/>
    <w:rsid w:val="0084525B"/>
    <w:rsid w:val="0084679E"/>
    <w:rsid w:val="00846C93"/>
    <w:rsid w:val="008510BD"/>
    <w:rsid w:val="00852673"/>
    <w:rsid w:val="00853FC8"/>
    <w:rsid w:val="008604A6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38C2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FAD"/>
    <w:rsid w:val="009753DF"/>
    <w:rsid w:val="00976ED8"/>
    <w:rsid w:val="009824E3"/>
    <w:rsid w:val="00983CDE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AF4C6C"/>
    <w:rsid w:val="00AF552D"/>
    <w:rsid w:val="00B02F5F"/>
    <w:rsid w:val="00B10125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472C5"/>
    <w:rsid w:val="00B518A4"/>
    <w:rsid w:val="00B52C80"/>
    <w:rsid w:val="00B55ED1"/>
    <w:rsid w:val="00B6027E"/>
    <w:rsid w:val="00B614A1"/>
    <w:rsid w:val="00B634E8"/>
    <w:rsid w:val="00B64A46"/>
    <w:rsid w:val="00B73D6B"/>
    <w:rsid w:val="00B74D90"/>
    <w:rsid w:val="00B77FAA"/>
    <w:rsid w:val="00B83882"/>
    <w:rsid w:val="00B867D7"/>
    <w:rsid w:val="00B86A2F"/>
    <w:rsid w:val="00B90946"/>
    <w:rsid w:val="00B9122F"/>
    <w:rsid w:val="00B914CA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3CEB"/>
    <w:rsid w:val="00BD4D2E"/>
    <w:rsid w:val="00BD4F02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134"/>
    <w:rsid w:val="00C175C9"/>
    <w:rsid w:val="00C21284"/>
    <w:rsid w:val="00C2431B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576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4AB5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2D7"/>
    <w:rsid w:val="00D0342D"/>
    <w:rsid w:val="00D03BD6"/>
    <w:rsid w:val="00D059CB"/>
    <w:rsid w:val="00D06690"/>
    <w:rsid w:val="00D1224D"/>
    <w:rsid w:val="00D14074"/>
    <w:rsid w:val="00D21E6F"/>
    <w:rsid w:val="00D25B09"/>
    <w:rsid w:val="00D27320"/>
    <w:rsid w:val="00D27F19"/>
    <w:rsid w:val="00D318AF"/>
    <w:rsid w:val="00D318F3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53A6C"/>
    <w:rsid w:val="00F55EBA"/>
    <w:rsid w:val="00F6179D"/>
    <w:rsid w:val="00F6417E"/>
    <w:rsid w:val="00F728EB"/>
    <w:rsid w:val="00F73A3E"/>
    <w:rsid w:val="00F73B80"/>
    <w:rsid w:val="00F77DE9"/>
    <w:rsid w:val="00F80CA7"/>
    <w:rsid w:val="00F80CCF"/>
    <w:rsid w:val="00F81F74"/>
    <w:rsid w:val="00F82C98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649"/>
    <w:rsid w:val="00FB27E1"/>
    <w:rsid w:val="00FB296F"/>
    <w:rsid w:val="00FB37E4"/>
    <w:rsid w:val="00FB42EC"/>
    <w:rsid w:val="00FB5723"/>
    <w:rsid w:val="00FC3EB5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0D1106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2B26C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DD1F9-D319-4A16-82BB-33B7D3B2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14822</Words>
  <Characters>84491</Characters>
  <Application>Microsoft Office Word</Application>
  <DocSecurity>0</DocSecurity>
  <Lines>704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99115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พรรษชล มุสิกสินธร</cp:lastModifiedBy>
  <cp:revision>4</cp:revision>
  <cp:lastPrinted>2019-03-04T13:32:00Z</cp:lastPrinted>
  <dcterms:created xsi:type="dcterms:W3CDTF">2019-09-11T04:44:00Z</dcterms:created>
  <dcterms:modified xsi:type="dcterms:W3CDTF">2019-09-11T08:17:00Z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