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88C" w:rsidRPr="00000362" w:rsidRDefault="0033188C" w:rsidP="0033188C">
      <w:pPr>
        <w:spacing w:after="120" w:line="240" w:lineRule="auto"/>
        <w:rPr>
          <w:rFonts w:ascii="TH SarabunPSK" w:hAnsi="TH SarabunPSK" w:cs="TH SarabunPSK"/>
          <w:b/>
          <w:bCs/>
          <w:spacing w:val="-4"/>
          <w:sz w:val="32"/>
          <w:szCs w:val="32"/>
          <w:u w:val="single"/>
        </w:rPr>
      </w:pPr>
      <w:r w:rsidRPr="0000036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สรุปประเด็นการปรับปรุง</w:t>
      </w:r>
      <w:r w:rsidRPr="0000036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แบบรายงาน</w:t>
      </w:r>
      <w:r w:rsidRPr="00000362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การดำรงเงินกองทุนเพื่อรองรับความเสี่ยงด้านตลาด</w:t>
      </w:r>
      <w:r w:rsidRPr="007D1D4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>สำหรับกลุ่มธุรกิจทางการเงิน</w:t>
      </w:r>
      <w:r w:rsidRPr="00000362">
        <w:rPr>
          <w:rFonts w:ascii="TH SarabunPSK" w:hAnsi="TH SarabunPSK" w:cs="TH SarabunPSK" w:hint="cs"/>
          <w:b/>
          <w:bCs/>
          <w:sz w:val="32"/>
          <w:szCs w:val="32"/>
          <w:u w:val="single"/>
          <w:cs/>
        </w:rPr>
        <w:t xml:space="preserve">เพื่อรองรับหลักเกณฑ์ </w:t>
      </w:r>
      <w:r w:rsidRPr="00000362">
        <w:rPr>
          <w:rFonts w:ascii="TH SarabunPSK" w:hAnsi="TH SarabunPSK" w:cs="TH SarabunPSK"/>
          <w:b/>
          <w:bCs/>
          <w:sz w:val="32"/>
          <w:szCs w:val="32"/>
          <w:u w:val="single"/>
        </w:rPr>
        <w:t>Basel III</w:t>
      </w:r>
      <w:r w:rsidRPr="00000362">
        <w:rPr>
          <w:rFonts w:ascii="TH SarabunPSK" w:hAnsi="TH SarabunPSK" w:cs="TH SarabunPSK"/>
          <w:b/>
          <w:bCs/>
          <w:spacing w:val="-4"/>
          <w:sz w:val="32"/>
          <w:szCs w:val="32"/>
          <w:u w:val="single"/>
        </w:rPr>
        <w:t xml:space="preserve"> </w:t>
      </w:r>
    </w:p>
    <w:p w:rsidR="0033188C" w:rsidRPr="00000362" w:rsidRDefault="0033188C" w:rsidP="0033188C">
      <w:pPr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 w:rsidRPr="00000362">
        <w:rPr>
          <w:rFonts w:ascii="TH SarabunPSK" w:hAnsi="TH SarabunPSK" w:cs="TH SarabunPSK"/>
          <w:b/>
          <w:bCs/>
          <w:sz w:val="32"/>
          <w:szCs w:val="32"/>
          <w:cs/>
        </w:rPr>
        <w:t>1</w:t>
      </w:r>
      <w:r w:rsidRPr="00000362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Pr="00000362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00036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แบบรายงานการดำรงเงินกองทุนเพื่อรองรับความเสี่ยงด้านตลาด </w:t>
      </w:r>
    </w:p>
    <w:p w:rsidR="0033188C" w:rsidRPr="00000362" w:rsidRDefault="0033188C" w:rsidP="0033188C">
      <w:pPr>
        <w:tabs>
          <w:tab w:val="left" w:pos="851"/>
        </w:tabs>
        <w:spacing w:after="120" w:line="240" w:lineRule="auto"/>
        <w:rPr>
          <w:rFonts w:ascii="TH SarabunPSK" w:hAnsi="TH SarabunPSK" w:cs="TH SarabunPSK"/>
          <w:sz w:val="32"/>
          <w:szCs w:val="32"/>
        </w:rPr>
      </w:pPr>
      <w:r w:rsidRPr="00000362">
        <w:rPr>
          <w:rFonts w:ascii="TH SarabunPSK" w:hAnsi="TH SarabunPSK" w:cs="TH SarabunPSK"/>
          <w:b/>
          <w:bCs/>
          <w:sz w:val="32"/>
          <w:szCs w:val="32"/>
        </w:rPr>
        <w:tab/>
      </w:r>
      <w:r w:rsidRPr="00000362">
        <w:rPr>
          <w:rFonts w:ascii="TH SarabunPSK" w:hAnsi="TH SarabunPSK" w:cs="TH SarabunPSK" w:hint="cs"/>
          <w:sz w:val="32"/>
          <w:szCs w:val="32"/>
          <w:cs/>
        </w:rPr>
        <w:t xml:space="preserve">ธปท. ได้ปรับปรุงแบบรายงานการดำรงเงินกองทุนเพื่อรองรับความเสี่ยงด้านตลาด (หน้าสรุป) โดยเพิ่มข้อ 2.3 และ 2.4 ให้แสดงมูลค่าเงินกองทุนสำหรับฐานะที่เข้าข่ายต้องคำนวณสินทรัพย์เสี่ยงด้านตลาดโดยใช้น้ำหนักความเสี่ยงที่กำหนดตามหลักเกณฑ์ </w:t>
      </w:r>
      <w:r w:rsidRPr="00000362">
        <w:rPr>
          <w:rFonts w:ascii="TH SarabunPSK" w:hAnsi="TH SarabunPSK" w:cs="TH SarabunPSK"/>
          <w:sz w:val="32"/>
          <w:szCs w:val="32"/>
        </w:rPr>
        <w:t xml:space="preserve">Basel III </w:t>
      </w:r>
      <w:r>
        <w:rPr>
          <w:rFonts w:ascii="TH SarabunPSK" w:hAnsi="TH SarabunPSK" w:cs="TH SarabunPSK" w:hint="cs"/>
          <w:sz w:val="32"/>
          <w:szCs w:val="32"/>
          <w:cs/>
        </w:rPr>
        <w:t>ด้าน</w:t>
      </w:r>
      <w:r w:rsidRPr="00000362">
        <w:rPr>
          <w:rFonts w:ascii="TH SarabunPSK" w:hAnsi="TH SarabunPSK" w:cs="TH SarabunPSK" w:hint="cs"/>
          <w:sz w:val="32"/>
          <w:szCs w:val="32"/>
          <w:cs/>
        </w:rPr>
        <w:t xml:space="preserve">เงินกองทุน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ซึ่งฐานะดังกล่าวอาจอยู่ในรูปของตราสารทุน หรือ </w:t>
      </w:r>
      <w:r>
        <w:rPr>
          <w:rFonts w:ascii="TH SarabunPSK" w:hAnsi="TH SarabunPSK" w:cs="TH SarabunPSK"/>
          <w:sz w:val="32"/>
          <w:szCs w:val="32"/>
        </w:rPr>
        <w:t>Equity Option</w:t>
      </w:r>
      <w:r>
        <w:rPr>
          <w:rFonts w:ascii="TH SarabunPSK" w:hAnsi="TH SarabunPSK" w:cs="TH SarabunPSK"/>
          <w:sz w:val="32"/>
          <w:szCs w:val="32"/>
        </w:rPr>
        <w:footnoteReference w:id="1"/>
      </w:r>
      <w:r>
        <w:rPr>
          <w:rFonts w:ascii="TH SarabunPSK" w:hAnsi="TH SarabunPSK" w:cs="TH SarabunPSK" w:hint="cs"/>
          <w:sz w:val="32"/>
          <w:szCs w:val="32"/>
          <w:cs/>
        </w:rPr>
        <w:t xml:space="preserve"> ดังนี้</w:t>
      </w: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700"/>
        <w:gridCol w:w="836"/>
        <w:gridCol w:w="4480"/>
      </w:tblGrid>
      <w:tr w:rsidR="0033188C" w:rsidRPr="00000362" w:rsidTr="00084BF9">
        <w:tblPrEx>
          <w:tblCellMar>
            <w:top w:w="0" w:type="dxa"/>
            <w:bottom w:w="0" w:type="dxa"/>
          </w:tblCellMar>
        </w:tblPrEx>
        <w:tc>
          <w:tcPr>
            <w:tcW w:w="3936" w:type="dxa"/>
          </w:tcPr>
          <w:p w:rsidR="0033188C" w:rsidRPr="00000362" w:rsidRDefault="0033188C" w:rsidP="00084BF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03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ประเด็นการแก้ไข</w:t>
            </w:r>
          </w:p>
        </w:tc>
        <w:tc>
          <w:tcPr>
            <w:tcW w:w="850" w:type="dxa"/>
          </w:tcPr>
          <w:p w:rsidR="0033188C" w:rsidRPr="00000362" w:rsidRDefault="0033188C" w:rsidP="00084BF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03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คอลัมน์</w:t>
            </w:r>
          </w:p>
        </w:tc>
        <w:tc>
          <w:tcPr>
            <w:tcW w:w="4790" w:type="dxa"/>
          </w:tcPr>
          <w:p w:rsidR="0033188C" w:rsidRPr="00000362" w:rsidRDefault="0033188C" w:rsidP="00084BF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003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แนวทางการรายงาน</w:t>
            </w:r>
          </w:p>
        </w:tc>
      </w:tr>
      <w:tr w:rsidR="0033188C" w:rsidRPr="00000362" w:rsidTr="00084BF9">
        <w:tblPrEx>
          <w:tblCellMar>
            <w:top w:w="0" w:type="dxa"/>
            <w:bottom w:w="0" w:type="dxa"/>
          </w:tblCellMar>
        </w:tblPrEx>
        <w:tc>
          <w:tcPr>
            <w:tcW w:w="3936" w:type="dxa"/>
          </w:tcPr>
          <w:p w:rsidR="0033188C" w:rsidRPr="00000362" w:rsidRDefault="0033188C" w:rsidP="00084BF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0362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เพิ่ม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ข้อ</w:t>
            </w:r>
            <w:r w:rsidRPr="00000362">
              <w:rPr>
                <w:sz w:val="24"/>
                <w:szCs w:val="32"/>
              </w:rPr>
              <w:t xml:space="preserve"> </w:t>
            </w:r>
            <w:r w:rsidRPr="00000362">
              <w:rPr>
                <w:rFonts w:ascii="TH SarabunPSK" w:hAnsi="TH SarabunPSK" w:cs="TH SarabunPSK"/>
                <w:sz w:val="32"/>
                <w:szCs w:val="32"/>
                <w:cs/>
              </w:rPr>
              <w:t>2.3 เงินกองทุนเพื่อรองรับ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Pr="00000362">
              <w:rPr>
                <w:rFonts w:ascii="TH SarabunPSK" w:hAnsi="TH SarabunPSK" w:cs="TH SarabunPSK"/>
                <w:sz w:val="32"/>
                <w:szCs w:val="32"/>
                <w:cs/>
              </w:rPr>
              <w:t>ความเสี่ยงจากเงินลงทุนในบริษัทที่ทำธุรกิจทางการเงินและธุรกิจสนับสนุนที่</w:t>
            </w:r>
            <w:r w:rsidRPr="00CA4339">
              <w:rPr>
                <w:rFonts w:ascii="TH SarabunPSK" w:hAnsi="TH SarabunPSK" w:cs="TH SarabunPSK"/>
                <w:sz w:val="32"/>
                <w:szCs w:val="32"/>
                <w:cs/>
              </w:rPr>
              <w:t>กลุ่มธุรกิจทางการเงิน</w:t>
            </w:r>
            <w:r w:rsidRPr="00000362">
              <w:rPr>
                <w:rFonts w:ascii="TH SarabunPSK" w:hAnsi="TH SarabunPSK" w:cs="TH SarabunPSK"/>
                <w:sz w:val="32"/>
                <w:szCs w:val="32"/>
                <w:cs/>
              </w:rPr>
              <w:t>ถือหุ้นเกินกว่าร้อยละ 10 ของจำนวนหุ้นที่จำหน่ายได้แล้วทั้งหมดของบริษัทนั้นซึ่งอยู่ในบัญชีเพื่อการค้า</w:t>
            </w:r>
          </w:p>
        </w:tc>
        <w:tc>
          <w:tcPr>
            <w:tcW w:w="850" w:type="dxa"/>
          </w:tcPr>
          <w:p w:rsidR="0033188C" w:rsidRPr="00000362" w:rsidRDefault="0033188C" w:rsidP="00084BF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0362">
              <w:rPr>
                <w:rFonts w:ascii="TH SarabunPSK" w:hAnsi="TH SarabunPSK" w:cs="TH SarabunPSK"/>
                <w:sz w:val="32"/>
                <w:szCs w:val="32"/>
              </w:rPr>
              <w:t>A</w:t>
            </w:r>
          </w:p>
        </w:tc>
        <w:tc>
          <w:tcPr>
            <w:tcW w:w="4790" w:type="dxa"/>
          </w:tcPr>
          <w:p w:rsidR="0033188C" w:rsidRPr="00000362" w:rsidRDefault="0033188C" w:rsidP="00084BF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กำหนดให้มีมูลค่าเท่ากับผลรวมของเงินลงทุนใน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บริษัทที่ทำธุรกิจทางการเงินและธุรกิจสนับสนุน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ทั้งที่อยู่ในรูป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ตราสารทุนและ 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>Equity Option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ที่</w:t>
            </w:r>
            <w:r w:rsidRPr="00CA4339">
              <w:rPr>
                <w:rFonts w:ascii="TH SarabunPSK" w:hAnsi="TH SarabunPSK" w:cs="TH SarabunPSK"/>
                <w:sz w:val="32"/>
                <w:szCs w:val="32"/>
                <w:cs/>
              </w:rPr>
              <w:t>กลุ่มธุรกิจทางการเงิน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ใน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ตารางที่ 3.1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คอลัมน์ 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>E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</w:tr>
      <w:tr w:rsidR="0033188C" w:rsidRPr="00000362" w:rsidTr="00084BF9">
        <w:tblPrEx>
          <w:tblCellMar>
            <w:top w:w="0" w:type="dxa"/>
            <w:bottom w:w="0" w:type="dxa"/>
          </w:tblCellMar>
        </w:tblPrEx>
        <w:tc>
          <w:tcPr>
            <w:tcW w:w="3936" w:type="dxa"/>
          </w:tcPr>
          <w:p w:rsidR="0033188C" w:rsidRPr="00000362" w:rsidRDefault="0033188C" w:rsidP="00084BF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0362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เพิ่ม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ข้อ </w:t>
            </w:r>
            <w:r w:rsidRPr="00000362">
              <w:rPr>
                <w:rFonts w:ascii="TH SarabunPSK" w:hAnsi="TH SarabunPSK" w:cs="TH SarabunPSK"/>
                <w:sz w:val="32"/>
                <w:szCs w:val="32"/>
                <w:cs/>
              </w:rPr>
              <w:t>2.4 เงินกองทุนเพื่อรองรับ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Pr="00000362">
              <w:rPr>
                <w:rFonts w:ascii="TH SarabunPSK" w:hAnsi="TH SarabunPSK" w:cs="TH SarabunPSK"/>
                <w:sz w:val="32"/>
                <w:szCs w:val="32"/>
                <w:cs/>
              </w:rPr>
              <w:t>ความเสี่ยงจากเงินลงทุนในบริษัทที่ประกอบธุรกิจอื่น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00362">
              <w:rPr>
                <w:rFonts w:ascii="TH SarabunPSK" w:hAnsi="TH SarabunPSK" w:cs="TH SarabunPSK"/>
                <w:sz w:val="32"/>
                <w:szCs w:val="32"/>
                <w:cs/>
              </w:rPr>
              <w:t>ๆ ที่ไม่ใช่ธุรกิจทางการเงินและธุรกิจสนับสนุนที่</w:t>
            </w:r>
            <w:r w:rsidRPr="00CA4339">
              <w:rPr>
                <w:rFonts w:ascii="TH SarabunPSK" w:hAnsi="TH SarabunPSK" w:cs="TH SarabunPSK"/>
                <w:sz w:val="32"/>
                <w:szCs w:val="32"/>
                <w:cs/>
              </w:rPr>
              <w:t>กลุ่มธุรกิจทางการเงิน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Pr="00000362">
              <w:rPr>
                <w:rFonts w:ascii="TH SarabunPSK" w:hAnsi="TH SarabunPSK" w:cs="TH SarabunPSK"/>
                <w:sz w:val="32"/>
                <w:szCs w:val="32"/>
                <w:cs/>
              </w:rPr>
              <w:t>ถือหุ้นเกินกว่าร้อยละ 10 ของจำนวนหุ้น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Pr="00000362">
              <w:rPr>
                <w:rFonts w:ascii="TH SarabunPSK" w:hAnsi="TH SarabunPSK" w:cs="TH SarabunPSK"/>
                <w:sz w:val="32"/>
                <w:szCs w:val="32"/>
                <w:cs/>
              </w:rPr>
              <w:t>ที่จำหน่ายได้แล้วทั้งหมดของบริษัทนั้น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Pr="000003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ซึ่งอยู่ในบัญชีเพื่อการค้า </w:t>
            </w:r>
          </w:p>
        </w:tc>
        <w:tc>
          <w:tcPr>
            <w:tcW w:w="850" w:type="dxa"/>
          </w:tcPr>
          <w:p w:rsidR="0033188C" w:rsidRPr="00000362" w:rsidRDefault="0033188C" w:rsidP="00084BF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0362">
              <w:rPr>
                <w:rFonts w:ascii="TH SarabunPSK" w:hAnsi="TH SarabunPSK" w:cs="TH SarabunPSK"/>
                <w:sz w:val="32"/>
                <w:szCs w:val="32"/>
              </w:rPr>
              <w:t>A</w:t>
            </w:r>
          </w:p>
        </w:tc>
        <w:tc>
          <w:tcPr>
            <w:tcW w:w="4790" w:type="dxa"/>
          </w:tcPr>
          <w:p w:rsidR="0033188C" w:rsidRPr="00000362" w:rsidRDefault="0033188C" w:rsidP="00084BF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กำหนดให้มีมูลค่าเท่ากับผลรวมของเงินลงทุนใน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บริษัทที่ทำธุรกิจอื่น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ๆ ทั้งที่อยู่ในรูป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ตราสารทุน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 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>Equity Option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ที่</w:t>
            </w:r>
            <w:r w:rsidRPr="00CA4339">
              <w:rPr>
                <w:rFonts w:ascii="TH SarabunPSK" w:hAnsi="TH SarabunPSK" w:cs="TH SarabunPSK"/>
                <w:sz w:val="32"/>
                <w:szCs w:val="32"/>
                <w:cs/>
              </w:rPr>
              <w:t>กลุ่มธุรกิจทางการเงิน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ใน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ตารางที่ 3.1 คอลัมน์ 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>F</w:t>
            </w:r>
          </w:p>
        </w:tc>
      </w:tr>
    </w:tbl>
    <w:p w:rsidR="0033188C" w:rsidRPr="00000362" w:rsidRDefault="0033188C" w:rsidP="0033188C">
      <w:pPr>
        <w:spacing w:after="120" w:line="240" w:lineRule="auto"/>
        <w:rPr>
          <w:rFonts w:ascii="TH SarabunPSK" w:hAnsi="TH SarabunPSK" w:cs="TH SarabunPSK"/>
          <w:b/>
          <w:bCs/>
          <w:sz w:val="32"/>
          <w:szCs w:val="32"/>
        </w:rPr>
      </w:pPr>
      <w:r>
        <w:rPr>
          <w:rFonts w:ascii="TH SarabunPSK" w:hAnsi="TH SarabunPSK" w:cs="TH SarabunPSK"/>
          <w:sz w:val="32"/>
          <w:szCs w:val="32"/>
          <w:cs/>
        </w:rPr>
        <w:br/>
      </w:r>
      <w:r w:rsidRPr="00000362">
        <w:rPr>
          <w:rFonts w:ascii="TH SarabunPSK" w:hAnsi="TH SarabunPSK" w:cs="TH SarabunPSK"/>
          <w:b/>
          <w:bCs/>
          <w:sz w:val="32"/>
          <w:szCs w:val="32"/>
        </w:rPr>
        <w:t>2</w:t>
      </w:r>
      <w:r w:rsidRPr="00000362">
        <w:rPr>
          <w:rFonts w:ascii="TH SarabunPSK" w:hAnsi="TH SarabunPSK" w:cs="TH SarabunPSK" w:hint="cs"/>
          <w:b/>
          <w:bCs/>
          <w:sz w:val="32"/>
          <w:szCs w:val="32"/>
          <w:cs/>
        </w:rPr>
        <w:t>.</w:t>
      </w:r>
      <w:r w:rsidRPr="00000362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000362">
        <w:rPr>
          <w:rFonts w:ascii="TH SarabunPSK" w:hAnsi="TH SarabunPSK" w:cs="TH SarabunPSK" w:hint="cs"/>
          <w:b/>
          <w:bCs/>
          <w:sz w:val="32"/>
          <w:szCs w:val="32"/>
          <w:cs/>
        </w:rPr>
        <w:t>ตารางที่ 3.1 ตาราง</w:t>
      </w:r>
      <w:r w:rsidRPr="00000362">
        <w:rPr>
          <w:rFonts w:ascii="TH SarabunPSK" w:hAnsi="TH SarabunPSK" w:cs="TH SarabunPSK"/>
          <w:b/>
          <w:bCs/>
          <w:sz w:val="32"/>
          <w:szCs w:val="32"/>
          <w:cs/>
        </w:rPr>
        <w:t>สรุปเงินกองทุนเพื่อรองรับความเสี่ยงจากเงินลงทุนในบริษัทที่ทำธุรกิจทางการเงิน</w:t>
      </w:r>
      <w:r>
        <w:rPr>
          <w:rFonts w:ascii="TH SarabunPSK" w:hAnsi="TH SarabunPSK" w:cs="TH SarabunPSK"/>
          <w:b/>
          <w:bCs/>
          <w:sz w:val="32"/>
          <w:szCs w:val="32"/>
        </w:rPr>
        <w:br/>
      </w:r>
      <w:r w:rsidRPr="00000362">
        <w:rPr>
          <w:rFonts w:ascii="TH SarabunPSK" w:hAnsi="TH SarabunPSK" w:cs="TH SarabunPSK"/>
          <w:b/>
          <w:bCs/>
          <w:sz w:val="32"/>
          <w:szCs w:val="32"/>
          <w:cs/>
        </w:rPr>
        <w:t>และธุรกิจสนับสนุนที่</w:t>
      </w:r>
      <w:r w:rsidRPr="00CA4339">
        <w:rPr>
          <w:rFonts w:ascii="TH SarabunPSK" w:hAnsi="TH SarabunPSK" w:cs="TH SarabunPSK"/>
          <w:b/>
          <w:bCs/>
          <w:sz w:val="32"/>
          <w:szCs w:val="32"/>
          <w:cs/>
        </w:rPr>
        <w:t>กลุ่มธุรกิจทางการเงิน</w:t>
      </w:r>
      <w:r w:rsidRPr="00000362">
        <w:rPr>
          <w:rFonts w:ascii="TH SarabunPSK" w:hAnsi="TH SarabunPSK" w:cs="TH SarabunPSK"/>
          <w:b/>
          <w:bCs/>
          <w:sz w:val="32"/>
          <w:szCs w:val="32"/>
          <w:cs/>
        </w:rPr>
        <w:t>ถือหุ้นเกินกว่าร้อยละ 10 ของจำนวนหุ้นที่จำหน่ายได้แล้วทั้งหมดของบริษัทนั้น</w:t>
      </w:r>
      <w:r w:rsidRPr="0000036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000362">
        <w:rPr>
          <w:rFonts w:ascii="TH SarabunPSK" w:hAnsi="TH SarabunPSK" w:cs="TH SarabunPSK"/>
          <w:b/>
          <w:bCs/>
          <w:sz w:val="32"/>
          <w:szCs w:val="32"/>
          <w:cs/>
        </w:rPr>
        <w:t>และเงินลงทุนในบริษัทที่ประกอบธุรกิจอื่น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 w:rsidRPr="00000362">
        <w:rPr>
          <w:rFonts w:ascii="TH SarabunPSK" w:hAnsi="TH SarabunPSK" w:cs="TH SarabunPSK"/>
          <w:b/>
          <w:bCs/>
          <w:sz w:val="32"/>
          <w:szCs w:val="32"/>
          <w:cs/>
        </w:rPr>
        <w:t>ๆ ที่ไม่ใช่ธุรกิจทางการเงินและธุรกิจสนับสนุน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br/>
      </w:r>
      <w:r w:rsidRPr="00000362">
        <w:rPr>
          <w:rFonts w:ascii="TH SarabunPSK" w:hAnsi="TH SarabunPSK" w:cs="TH SarabunPSK"/>
          <w:b/>
          <w:bCs/>
          <w:sz w:val="32"/>
          <w:szCs w:val="32"/>
          <w:cs/>
        </w:rPr>
        <w:t>ที่</w:t>
      </w:r>
      <w:r w:rsidRPr="00CA4339">
        <w:rPr>
          <w:rFonts w:ascii="TH SarabunPSK" w:hAnsi="TH SarabunPSK" w:cs="TH SarabunPSK"/>
          <w:b/>
          <w:bCs/>
          <w:sz w:val="32"/>
          <w:szCs w:val="32"/>
          <w:cs/>
        </w:rPr>
        <w:t>กลุ่มธุรกิจทางการเงิน</w:t>
      </w:r>
      <w:r w:rsidRPr="00000362">
        <w:rPr>
          <w:rFonts w:ascii="TH SarabunPSK" w:hAnsi="TH SarabunPSK" w:cs="TH SarabunPSK"/>
          <w:b/>
          <w:bCs/>
          <w:sz w:val="32"/>
          <w:szCs w:val="32"/>
          <w:cs/>
        </w:rPr>
        <w:t>ถือหุ้นเกินกว่าร้อยละ 10 ของจำนวนหุ้นที่จำหน่ายได้แล้วทั้งหมดของบริษัทนั้น</w:t>
      </w:r>
      <w:r w:rsidRPr="00000362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b/>
          <w:bCs/>
          <w:sz w:val="32"/>
          <w:szCs w:val="32"/>
          <w:cs/>
        </w:rPr>
        <w:br/>
      </w:r>
      <w:r w:rsidRPr="00000362">
        <w:rPr>
          <w:rFonts w:ascii="TH SarabunPSK" w:hAnsi="TH SarabunPSK" w:cs="TH SarabunPSK"/>
          <w:b/>
          <w:bCs/>
          <w:sz w:val="32"/>
          <w:szCs w:val="32"/>
          <w:cs/>
        </w:rPr>
        <w:t>ซึ่งอยู่ในบัญชีเพื่อการค้า</w:t>
      </w:r>
    </w:p>
    <w:p w:rsidR="0033188C" w:rsidRDefault="0033188C" w:rsidP="0033188C">
      <w:pPr>
        <w:tabs>
          <w:tab w:val="left" w:pos="851"/>
        </w:tabs>
        <w:spacing w:after="120" w:line="240" w:lineRule="auto"/>
        <w:rPr>
          <w:rFonts w:ascii="TH SarabunPSK" w:hAnsi="TH SarabunPSK" w:cs="TH SarabunPSK"/>
          <w:sz w:val="32"/>
          <w:szCs w:val="32"/>
        </w:rPr>
      </w:pPr>
      <w:r w:rsidRPr="00000362">
        <w:rPr>
          <w:rFonts w:ascii="TH SarabunPSK" w:hAnsi="TH SarabunPSK" w:cs="TH SarabunPSK" w:hint="cs"/>
          <w:sz w:val="32"/>
          <w:szCs w:val="32"/>
          <w:cs/>
        </w:rPr>
        <w:tab/>
        <w:t>ธปท. ได้</w:t>
      </w:r>
      <w:r>
        <w:rPr>
          <w:rFonts w:ascii="TH SarabunPSK" w:hAnsi="TH SarabunPSK" w:cs="TH SarabunPSK" w:hint="cs"/>
          <w:sz w:val="32"/>
          <w:szCs w:val="32"/>
          <w:cs/>
        </w:rPr>
        <w:t>เพิ่มตารางที่ 3.1 เพื่อรองรับการรายงาน</w:t>
      </w:r>
      <w:r w:rsidRPr="00000362">
        <w:rPr>
          <w:rFonts w:ascii="TH SarabunPSK" w:hAnsi="TH SarabunPSK" w:cs="TH SarabunPSK" w:hint="cs"/>
          <w:sz w:val="32"/>
          <w:szCs w:val="32"/>
          <w:cs/>
        </w:rPr>
        <w:t xml:space="preserve">มูลค่าเงินกองทุนสำหรับฐานะที่เข้าข่ายต้องคำนวณสินทรัพย์เสี่ยงด้านตลาดโดยใช้น้ำหนักความเสี่ยงที่กำหนดตามหลักเกณฑ์ </w:t>
      </w:r>
      <w:r w:rsidRPr="00000362">
        <w:rPr>
          <w:rFonts w:ascii="TH SarabunPSK" w:hAnsi="TH SarabunPSK" w:cs="TH SarabunPSK"/>
          <w:sz w:val="32"/>
          <w:szCs w:val="32"/>
        </w:rPr>
        <w:t xml:space="preserve">Basel III </w:t>
      </w:r>
      <w:r>
        <w:rPr>
          <w:rFonts w:ascii="TH SarabunPSK" w:hAnsi="TH SarabunPSK" w:cs="TH SarabunPSK" w:hint="cs"/>
          <w:sz w:val="32"/>
          <w:szCs w:val="32"/>
          <w:cs/>
        </w:rPr>
        <w:t>ด้าน</w:t>
      </w:r>
      <w:r w:rsidRPr="00000362">
        <w:rPr>
          <w:rFonts w:ascii="TH SarabunPSK" w:hAnsi="TH SarabunPSK" w:cs="TH SarabunPSK" w:hint="cs"/>
          <w:sz w:val="32"/>
          <w:szCs w:val="32"/>
          <w:cs/>
        </w:rPr>
        <w:t xml:space="preserve">เงินกองทุน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ซึ่งฐานะดังกล่าวอาจอยู่ในรูปของตราสารทุน หรือ </w:t>
      </w:r>
      <w:r>
        <w:rPr>
          <w:rFonts w:ascii="TH SarabunPSK" w:hAnsi="TH SarabunPSK" w:cs="TH SarabunPSK"/>
          <w:sz w:val="32"/>
          <w:szCs w:val="32"/>
        </w:rPr>
        <w:t>Equity Option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และ</w:t>
      </w:r>
      <w:r w:rsidRPr="00CA4339">
        <w:rPr>
          <w:rFonts w:ascii="TH SarabunPSK" w:hAnsi="TH SarabunPSK" w:cs="TH SarabunPSK"/>
          <w:sz w:val="32"/>
          <w:szCs w:val="32"/>
          <w:cs/>
        </w:rPr>
        <w:t>กลุ่มธุรกิจทางการเงิน</w:t>
      </w:r>
      <w:r>
        <w:rPr>
          <w:rFonts w:ascii="TH SarabunPSK" w:hAnsi="TH SarabunPSK" w:cs="TH SarabunPSK" w:hint="cs"/>
          <w:sz w:val="32"/>
          <w:szCs w:val="32"/>
          <w:cs/>
        </w:rPr>
        <w:t>อาจเลือกใช้วิธี</w:t>
      </w:r>
      <w:r>
        <w:rPr>
          <w:rFonts w:ascii="TH SarabunPSK" w:hAnsi="TH SarabunPSK" w:cs="TH SarabunPSK" w:hint="cs"/>
          <w:sz w:val="32"/>
          <w:szCs w:val="32"/>
          <w:cs/>
        </w:rPr>
        <w:lastRenderedPageBreak/>
        <w:t xml:space="preserve">มาตรฐานหรือวิธีแบบจำลองในการคำนวณ โดยมูลค่าที่รายงานในตารางนี้จะต้องไม่รวมอยู่ในตารางสรุปเงินกองทุนเพื่อรองรับความเสี่ยงด้านราคาตราสารทุนตามวิธีมาตรฐาน (ตารางที่ 3) ดังนี้ </w:t>
      </w:r>
    </w:p>
    <w:p w:rsidR="0033188C" w:rsidRPr="00000362" w:rsidRDefault="0033188C" w:rsidP="0033188C">
      <w:pPr>
        <w:tabs>
          <w:tab w:val="left" w:pos="851"/>
        </w:tabs>
        <w:spacing w:after="120" w:line="240" w:lineRule="auto"/>
        <w:rPr>
          <w:rFonts w:ascii="TH SarabunPSK" w:hAnsi="TH SarabunPSK" w:cs="TH SarabunPSK"/>
          <w:sz w:val="32"/>
          <w:szCs w:val="32"/>
        </w:rPr>
      </w:pPr>
    </w:p>
    <w:tbl>
      <w:tblPr>
        <w:tblW w:w="0" w:type="auto"/>
        <w:tblInd w:w="1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686"/>
        <w:gridCol w:w="836"/>
        <w:gridCol w:w="4494"/>
      </w:tblGrid>
      <w:tr w:rsidR="0033188C" w:rsidRPr="00000362" w:rsidTr="00084BF9">
        <w:tblPrEx>
          <w:tblCellMar>
            <w:top w:w="0" w:type="dxa"/>
            <w:bottom w:w="0" w:type="dxa"/>
          </w:tblCellMar>
        </w:tblPrEx>
        <w:tc>
          <w:tcPr>
            <w:tcW w:w="3936" w:type="dxa"/>
          </w:tcPr>
          <w:p w:rsidR="0033188C" w:rsidRPr="00000362" w:rsidRDefault="0033188C" w:rsidP="00084BF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03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ประเด็นการแก้ไข</w:t>
            </w:r>
          </w:p>
        </w:tc>
        <w:tc>
          <w:tcPr>
            <w:tcW w:w="850" w:type="dxa"/>
          </w:tcPr>
          <w:p w:rsidR="0033188C" w:rsidRPr="00000362" w:rsidRDefault="0033188C" w:rsidP="00084BF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03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คอลัมน์</w:t>
            </w:r>
          </w:p>
        </w:tc>
        <w:tc>
          <w:tcPr>
            <w:tcW w:w="4790" w:type="dxa"/>
          </w:tcPr>
          <w:p w:rsidR="0033188C" w:rsidRPr="00000362" w:rsidRDefault="0033188C" w:rsidP="00084BF9">
            <w:pPr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000362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แนวทางการรายงาน</w:t>
            </w:r>
          </w:p>
        </w:tc>
      </w:tr>
      <w:tr w:rsidR="0033188C" w:rsidRPr="00000362" w:rsidTr="00084BF9">
        <w:tblPrEx>
          <w:tblCellMar>
            <w:top w:w="0" w:type="dxa"/>
            <w:bottom w:w="0" w:type="dxa"/>
          </w:tblCellMar>
        </w:tblPrEx>
        <w:tc>
          <w:tcPr>
            <w:tcW w:w="3936" w:type="dxa"/>
          </w:tcPr>
          <w:p w:rsidR="0033188C" w:rsidRPr="00000362" w:rsidRDefault="0033188C" w:rsidP="00084BF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0362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เพิ่ม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เงินลงทุนในธุรกิจทางการเงินและธุรกิจสนับสนุน</w:t>
            </w:r>
          </w:p>
        </w:tc>
        <w:tc>
          <w:tcPr>
            <w:tcW w:w="850" w:type="dxa"/>
          </w:tcPr>
          <w:p w:rsidR="0033188C" w:rsidRPr="00000362" w:rsidRDefault="0033188C" w:rsidP="00084BF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0362">
              <w:rPr>
                <w:rFonts w:ascii="TH SarabunPSK" w:hAnsi="TH SarabunPSK" w:cs="TH SarabunPSK"/>
                <w:sz w:val="32"/>
                <w:szCs w:val="32"/>
              </w:rPr>
              <w:t>A , C</w:t>
            </w:r>
          </w:p>
        </w:tc>
        <w:tc>
          <w:tcPr>
            <w:tcW w:w="4790" w:type="dxa"/>
          </w:tcPr>
          <w:p w:rsidR="0033188C" w:rsidRPr="00000362" w:rsidRDefault="0033188C" w:rsidP="00084BF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</w:t>
            </w:r>
            <w:r w:rsidRPr="00CA4339">
              <w:rPr>
                <w:rFonts w:ascii="TH SarabunPSK" w:hAnsi="TH SarabunPSK" w:cs="TH SarabunPSK"/>
                <w:sz w:val="32"/>
                <w:szCs w:val="32"/>
                <w:cs/>
              </w:rPr>
              <w:t>กลุ่มธุรกิจทางการเงิน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รายงานมูลค่าเงินกองทุน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Pr="00000362">
              <w:rPr>
                <w:rFonts w:ascii="TH SarabunPSK" w:hAnsi="TH SarabunPSK" w:cs="TH SarabunPSK"/>
                <w:sz w:val="32"/>
                <w:szCs w:val="32"/>
                <w:cs/>
              </w:rPr>
              <w:t>เพื่อรองรับความเสี่ยงจากเงินลงทุนในบริษัทที่ทำธุรกิจทางการเงินและธุรกิจสนับสนุนที่</w:t>
            </w:r>
            <w:r w:rsidRPr="00CA4339">
              <w:rPr>
                <w:rFonts w:ascii="TH SarabunPSK" w:hAnsi="TH SarabunPSK" w:cs="TH SarabunPSK"/>
                <w:sz w:val="32"/>
                <w:szCs w:val="32"/>
                <w:cs/>
              </w:rPr>
              <w:t>กลุ่มธุรกิจทางการเงิน</w:t>
            </w:r>
            <w:r w:rsidRPr="00000362">
              <w:rPr>
                <w:rFonts w:ascii="TH SarabunPSK" w:hAnsi="TH SarabunPSK" w:cs="TH SarabunPSK"/>
                <w:sz w:val="32"/>
                <w:szCs w:val="32"/>
                <w:cs/>
              </w:rPr>
              <w:t>ถือหุ้นเกินกว่าร้อยละ 10 ของจำนวนหุ้นที่จำหน่าย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Pr="00000362">
              <w:rPr>
                <w:rFonts w:ascii="TH SarabunPSK" w:hAnsi="TH SarabunPSK" w:cs="TH SarabunPSK"/>
                <w:sz w:val="32"/>
                <w:szCs w:val="32"/>
                <w:cs/>
              </w:rPr>
              <w:t>ได้แล้วทั้งหมดของบริษัทนั้นซึ่งอยู่ในบัญชีเพื่อการค้า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ที่คำนวณโดยใช้น้ำหนักเงินกองทุนตั้งแต่ร้อยละ 20 (เทียบเท่าน้ำหนักความเสี่ยงร้อยละ 250) ขึ้นไป ตามแต่ละกรณี ดังนี้ </w:t>
            </w:r>
          </w:p>
          <w:p w:rsidR="0033188C" w:rsidRPr="00000362" w:rsidRDefault="0033188C" w:rsidP="00084BF9">
            <w:pPr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000362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 xml:space="preserve">1. กรณีเป็นตราสารทุนและอนุพันธ์ทางการเงินที่อ้างอิงราคาตราสารทุน ยกเว้น </w:t>
            </w:r>
            <w:r w:rsidRPr="00000362">
              <w:rPr>
                <w:rFonts w:ascii="TH SarabunPSK" w:hAnsi="TH SarabunPSK" w:cs="TH SarabunPSK"/>
                <w:sz w:val="32"/>
                <w:szCs w:val="32"/>
                <w:u w:val="single"/>
              </w:rPr>
              <w:t>Equity Option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 xml:space="preserve"> ที่ไม่ได้ใช้วิธีแบบจำลอง</w:t>
            </w:r>
          </w:p>
          <w:p w:rsidR="0033188C" w:rsidRPr="00000362" w:rsidRDefault="0033188C" w:rsidP="00084BF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</w:t>
            </w:r>
            <w:r w:rsidRPr="00CA4339">
              <w:rPr>
                <w:rFonts w:ascii="TH SarabunPSK" w:hAnsi="TH SarabunPSK" w:cs="TH SarabunPSK"/>
                <w:sz w:val="32"/>
                <w:szCs w:val="32"/>
                <w:cs/>
              </w:rPr>
              <w:t>กลุ่มธุรกิจทางการเงิน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รายงานมูลค่าเงินกองทุนในแถว “ตราสารทุน” โดย</w:t>
            </w:r>
          </w:p>
          <w:p w:rsidR="0033188C" w:rsidRPr="00000362" w:rsidRDefault="0033188C" w:rsidP="00084BF9">
            <w:pPr>
              <w:tabs>
                <w:tab w:val="left" w:pos="352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000362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รายงานในคอลัมน์ 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หาก</w:t>
            </w:r>
            <w:r w:rsidRPr="00CA4339">
              <w:rPr>
                <w:rFonts w:ascii="TH SarabunPSK" w:hAnsi="TH SarabunPSK" w:cs="TH SarabunPSK"/>
                <w:sz w:val="32"/>
                <w:szCs w:val="32"/>
                <w:cs/>
              </w:rPr>
              <w:t>กลุ่มธุรกิจทางการเงิน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ใช้วิธีมาตรฐานสำหรับตราสารทุน</w:t>
            </w:r>
          </w:p>
          <w:p w:rsidR="0033188C" w:rsidRPr="00000362" w:rsidRDefault="0033188C" w:rsidP="00084BF9">
            <w:pPr>
              <w:tabs>
                <w:tab w:val="left" w:pos="352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000362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- รายงานในคอลัมน์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 xml:space="preserve"> C 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หาก</w:t>
            </w:r>
            <w:r w:rsidRPr="00CA4339">
              <w:rPr>
                <w:rFonts w:ascii="TH SarabunPSK" w:hAnsi="TH SarabunPSK" w:cs="TH SarabunPSK"/>
                <w:sz w:val="32"/>
                <w:szCs w:val="32"/>
                <w:cs/>
              </w:rPr>
              <w:t>กลุ่มธุรกิจทางการเงิน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ใช้วิธีแบบจำลองสำหรับตราสารทุน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(รวมถึง 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>Equity Option)</w:t>
            </w:r>
          </w:p>
          <w:p w:rsidR="0033188C" w:rsidRPr="00000362" w:rsidRDefault="0033188C" w:rsidP="00084BF9">
            <w:pPr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000362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 xml:space="preserve">2. กรณีเป็น </w:t>
            </w:r>
            <w:r w:rsidRPr="00000362">
              <w:rPr>
                <w:rFonts w:ascii="TH SarabunPSK" w:hAnsi="TH SarabunPSK" w:cs="TH SarabunPSK"/>
                <w:sz w:val="32"/>
                <w:szCs w:val="32"/>
                <w:u w:val="single"/>
              </w:rPr>
              <w:t>Equity Option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 xml:space="preserve"> ที่ไม่ได้ใช้วิธีแบบจำลอง</w:t>
            </w:r>
          </w:p>
          <w:p w:rsidR="0033188C" w:rsidRPr="00000362" w:rsidRDefault="0033188C" w:rsidP="00084BF9">
            <w:pPr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</w:t>
            </w:r>
            <w:r w:rsidRPr="00CA4339">
              <w:rPr>
                <w:rFonts w:ascii="TH SarabunPSK" w:hAnsi="TH SarabunPSK" w:cs="TH SarabunPSK"/>
                <w:sz w:val="32"/>
                <w:szCs w:val="32"/>
                <w:cs/>
              </w:rPr>
              <w:t>กลุ่มธุรกิจทางการเงิน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รายงานมูลค่าเงินกองทุนในแถว “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>Equity Option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” โดยรายงานในคอลัมน์ 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>A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ทั้งกรณีที่ใช้วิธี 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 xml:space="preserve">Simplified Method, Delta Plus Method, 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 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 xml:space="preserve">Contingent Loss Method 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สำหรับ 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 xml:space="preserve">Equity Option 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</w:p>
        </w:tc>
      </w:tr>
      <w:tr w:rsidR="0033188C" w:rsidRPr="00000362" w:rsidTr="00084BF9">
        <w:tblPrEx>
          <w:tblCellMar>
            <w:top w:w="0" w:type="dxa"/>
            <w:bottom w:w="0" w:type="dxa"/>
          </w:tblCellMar>
        </w:tblPrEx>
        <w:tc>
          <w:tcPr>
            <w:tcW w:w="3936" w:type="dxa"/>
          </w:tcPr>
          <w:p w:rsidR="0033188C" w:rsidRPr="00000362" w:rsidRDefault="0033188C" w:rsidP="00084BF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0362">
              <w:rPr>
                <w:rFonts w:ascii="TH SarabunPSK" w:hAnsi="TH SarabunPSK" w:cs="TH SarabunPSK" w:hint="cs"/>
                <w:b/>
                <w:bCs/>
                <w:sz w:val="32"/>
                <w:szCs w:val="32"/>
                <w:u w:val="single"/>
                <w:cs/>
              </w:rPr>
              <w:t>เพิ่ม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เงินลงทุนในธุรกิจอื่น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ๆ </w:t>
            </w:r>
          </w:p>
        </w:tc>
        <w:tc>
          <w:tcPr>
            <w:tcW w:w="850" w:type="dxa"/>
          </w:tcPr>
          <w:p w:rsidR="0033188C" w:rsidRPr="00000362" w:rsidRDefault="0033188C" w:rsidP="00084BF9">
            <w:pPr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000362">
              <w:rPr>
                <w:rFonts w:ascii="TH SarabunPSK" w:hAnsi="TH SarabunPSK" w:cs="TH SarabunPSK"/>
                <w:sz w:val="32"/>
                <w:szCs w:val="32"/>
              </w:rPr>
              <w:t>B , D</w:t>
            </w:r>
          </w:p>
        </w:tc>
        <w:tc>
          <w:tcPr>
            <w:tcW w:w="4790" w:type="dxa"/>
          </w:tcPr>
          <w:p w:rsidR="0033188C" w:rsidRPr="00000362" w:rsidRDefault="0033188C" w:rsidP="00084BF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</w:t>
            </w:r>
            <w:r w:rsidRPr="00CA4339">
              <w:rPr>
                <w:rFonts w:ascii="TH SarabunPSK" w:hAnsi="TH SarabunPSK" w:cs="TH SarabunPSK"/>
                <w:sz w:val="32"/>
                <w:szCs w:val="32"/>
                <w:cs/>
              </w:rPr>
              <w:t>กลุ่มธุรกิจทางการเงิน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รายงานมูลค่าเงินกองทุน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br/>
            </w:r>
            <w:r w:rsidRPr="00000362">
              <w:rPr>
                <w:rFonts w:ascii="TH SarabunPSK" w:hAnsi="TH SarabunPSK" w:cs="TH SarabunPSK"/>
                <w:sz w:val="32"/>
                <w:szCs w:val="32"/>
                <w:cs/>
              </w:rPr>
              <w:t>เพื่อรองรับความเสี่ยงจากเงินลงทุนในบริษัทที่ประกอบธุรกิจอื่น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000362">
              <w:rPr>
                <w:rFonts w:ascii="TH SarabunPSK" w:hAnsi="TH SarabunPSK" w:cs="TH SarabunPSK"/>
                <w:sz w:val="32"/>
                <w:szCs w:val="32"/>
                <w:cs/>
              </w:rPr>
              <w:t>ๆ ที่ไม่ใช่ธุรกิจทางการเงินและธุรกิจสนับสนุนที่</w:t>
            </w:r>
            <w:r w:rsidRPr="00CA4339">
              <w:rPr>
                <w:rFonts w:ascii="TH SarabunPSK" w:hAnsi="TH SarabunPSK" w:cs="TH SarabunPSK"/>
                <w:sz w:val="32"/>
                <w:szCs w:val="32"/>
                <w:cs/>
              </w:rPr>
              <w:t>กลุ่มธุรกิจทางการเงิน</w:t>
            </w:r>
            <w:r w:rsidRPr="00000362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ถือหุ้นเกินกว่าร้อยละ </w:t>
            </w:r>
            <w:r w:rsidRPr="00000362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10 ของจำนวนหุ้นที่จำหน่ายได้แล้วทั้งหมดของบริษัทนั้นซึ่งอยู่ในบัญชีเพื่อการค้า 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ที่คำนวณโดยใช้น้ำหนักเงินกองทุนร้อยละ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94.1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E1C90">
              <w:rPr>
                <w:rFonts w:ascii="TH SarabunPSK" w:hAnsi="TH SarabunPSK" w:cs="TH SarabunPSK"/>
                <w:sz w:val="32"/>
                <w:szCs w:val="32"/>
                <w:cs/>
              </w:rPr>
              <w:t>(เทียบเท่าน้ำหนักความเสี่ยงร้อยละของ 100 หารด้วยร้อยละ 8.5)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ตามแต่ละกรณี ดังนี้ </w:t>
            </w:r>
            <w:r>
              <w:rPr>
                <w:rFonts w:ascii="TH SarabunPSK" w:hAnsi="TH SarabunPSK" w:cs="TH SarabunPSK"/>
                <w:sz w:val="32"/>
                <w:szCs w:val="32"/>
              </w:rPr>
              <w:br/>
            </w:r>
          </w:p>
          <w:p w:rsidR="0033188C" w:rsidRPr="00000362" w:rsidRDefault="0033188C" w:rsidP="00084BF9">
            <w:pPr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000362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 xml:space="preserve">1. กรณีเป็นตราสารทุนและอนุพันธ์ทางการเงินที่อ้างอิงราคาตราสารทุน ยกเว้น </w:t>
            </w:r>
            <w:r w:rsidRPr="00000362">
              <w:rPr>
                <w:rFonts w:ascii="TH SarabunPSK" w:hAnsi="TH SarabunPSK" w:cs="TH SarabunPSK"/>
                <w:sz w:val="32"/>
                <w:szCs w:val="32"/>
                <w:u w:val="single"/>
              </w:rPr>
              <w:t>Equity Option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 xml:space="preserve"> ที่ไม่ได้ใช้วิธีแบบจำลอง</w:t>
            </w:r>
          </w:p>
          <w:p w:rsidR="0033188C" w:rsidRPr="00000362" w:rsidRDefault="0033188C" w:rsidP="00084BF9">
            <w:pPr>
              <w:rPr>
                <w:rFonts w:ascii="TH SarabunPSK" w:hAnsi="TH SarabunPSK" w:cs="TH SarabunPSK"/>
                <w:sz w:val="32"/>
                <w:szCs w:val="32"/>
              </w:rPr>
            </w:pP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</w:t>
            </w:r>
            <w:r w:rsidRPr="00CA4339">
              <w:rPr>
                <w:rFonts w:ascii="TH SarabunPSK" w:hAnsi="TH SarabunPSK" w:cs="TH SarabunPSK"/>
                <w:sz w:val="32"/>
                <w:szCs w:val="32"/>
                <w:cs/>
              </w:rPr>
              <w:t>กลุ่มธุรกิจทางการเงิน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รายงานมูลค่าเงินกองทุนในแถว “ตราสารทุน” โดย</w:t>
            </w:r>
          </w:p>
          <w:p w:rsidR="0033188C" w:rsidRPr="00000362" w:rsidRDefault="0033188C" w:rsidP="00084BF9">
            <w:pPr>
              <w:tabs>
                <w:tab w:val="left" w:pos="352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000362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- รายงานในคอลัมน์ 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>B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หาก</w:t>
            </w:r>
            <w:r w:rsidRPr="00CA4339">
              <w:rPr>
                <w:rFonts w:ascii="TH SarabunPSK" w:hAnsi="TH SarabunPSK" w:cs="TH SarabunPSK"/>
                <w:sz w:val="32"/>
                <w:szCs w:val="32"/>
                <w:cs/>
              </w:rPr>
              <w:t>กลุ่มธุรกิจทางการเงิน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ใช้วิธีมาตรฐานสำหรับตราสารทุน</w:t>
            </w:r>
          </w:p>
          <w:p w:rsidR="0033188C" w:rsidRPr="00000362" w:rsidRDefault="0033188C" w:rsidP="00084BF9">
            <w:pPr>
              <w:tabs>
                <w:tab w:val="left" w:pos="352"/>
              </w:tabs>
              <w:rPr>
                <w:rFonts w:ascii="TH SarabunPSK" w:hAnsi="TH SarabunPSK" w:cs="TH SarabunPSK"/>
                <w:sz w:val="32"/>
                <w:szCs w:val="32"/>
              </w:rPr>
            </w:pPr>
            <w:r w:rsidRPr="00000362">
              <w:rPr>
                <w:rFonts w:ascii="TH SarabunPSK" w:hAnsi="TH SarabunPSK" w:cs="TH SarabunPSK"/>
                <w:sz w:val="32"/>
                <w:szCs w:val="32"/>
                <w:cs/>
              </w:rPr>
              <w:tab/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- รายงานในคอลัมน์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 xml:space="preserve"> D 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หาก</w:t>
            </w:r>
            <w:r w:rsidRPr="00CA4339">
              <w:rPr>
                <w:rFonts w:ascii="TH SarabunPSK" w:hAnsi="TH SarabunPSK" w:cs="TH SarabunPSK"/>
                <w:sz w:val="32"/>
                <w:szCs w:val="32"/>
                <w:cs/>
              </w:rPr>
              <w:t>กลุ่มธุรกิจทางการเงิน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ใช้วิธีแบบจำลองสำหรับตราสารทุน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(รวมถึง 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>Equity Option)</w:t>
            </w:r>
          </w:p>
          <w:p w:rsidR="0033188C" w:rsidRPr="00000362" w:rsidRDefault="0033188C" w:rsidP="00084BF9">
            <w:pPr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000362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 xml:space="preserve">2. กรณีเป็น </w:t>
            </w:r>
            <w:r w:rsidRPr="00000362">
              <w:rPr>
                <w:rFonts w:ascii="TH SarabunPSK" w:hAnsi="TH SarabunPSK" w:cs="TH SarabunPSK"/>
                <w:sz w:val="32"/>
                <w:szCs w:val="32"/>
                <w:u w:val="single"/>
              </w:rPr>
              <w:t>Equity Option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u w:val="single"/>
                <w:cs/>
              </w:rPr>
              <w:t xml:space="preserve"> ที่ไม่ได้ใช้วิธีแบบจำลอง</w:t>
            </w:r>
          </w:p>
          <w:p w:rsidR="0033188C" w:rsidRPr="00000362" w:rsidRDefault="0033188C" w:rsidP="00084BF9">
            <w:pPr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ให้</w:t>
            </w:r>
            <w:r w:rsidRPr="00CA4339">
              <w:rPr>
                <w:rFonts w:ascii="TH SarabunPSK" w:hAnsi="TH SarabunPSK" w:cs="TH SarabunPSK"/>
                <w:sz w:val="32"/>
                <w:szCs w:val="32"/>
                <w:cs/>
              </w:rPr>
              <w:t>กลุ่มธุรกิจทางการเงิน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รายงานมูลค่าเงินกองทุน</w:t>
            </w:r>
            <w:r>
              <w:rPr>
                <w:rFonts w:ascii="TH SarabunPSK" w:hAnsi="TH SarabunPSK" w:cs="TH SarabunPSK"/>
                <w:sz w:val="32"/>
                <w:szCs w:val="32"/>
                <w:cs/>
              </w:rPr>
              <w:br/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>ในแถว “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>Equity Option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” โดยรายงานในคอลัมน์ 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>B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ทั้งกรณีที่ใช้วิธี 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 xml:space="preserve">Simplified Method, Delta Plus Method, 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และ 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 xml:space="preserve">Contingent Loss Method </w:t>
            </w:r>
            <w:r w:rsidRPr="00000362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สำหรับ </w:t>
            </w:r>
            <w:r w:rsidRPr="00000362">
              <w:rPr>
                <w:rFonts w:ascii="TH SarabunPSK" w:hAnsi="TH SarabunPSK" w:cs="TH SarabunPSK"/>
                <w:sz w:val="32"/>
                <w:szCs w:val="32"/>
              </w:rPr>
              <w:t>Equity Option</w:t>
            </w:r>
          </w:p>
        </w:tc>
      </w:tr>
    </w:tbl>
    <w:p w:rsidR="00164686" w:rsidRPr="0033188C" w:rsidRDefault="00164686">
      <w:pPr>
        <w:rPr>
          <w:lang w:val="en-GB"/>
        </w:rPr>
      </w:pPr>
      <w:bookmarkStart w:id="0" w:name="_GoBack"/>
      <w:bookmarkEnd w:id="0"/>
    </w:p>
    <w:sectPr w:rsidR="00164686" w:rsidRPr="0033188C" w:rsidSect="0033188C">
      <w:pgSz w:w="11906" w:h="16838"/>
      <w:pgMar w:top="1440" w:right="1440" w:bottom="1440" w:left="1440" w:header="706" w:footer="706" w:gutter="0"/>
      <w:cols w:space="708"/>
      <w:docGrid w:linePitch="43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85C68" w:rsidRDefault="00B85C68" w:rsidP="0033188C">
      <w:pPr>
        <w:spacing w:after="0" w:line="240" w:lineRule="auto"/>
      </w:pPr>
      <w:r>
        <w:separator/>
      </w:r>
    </w:p>
  </w:endnote>
  <w:endnote w:type="continuationSeparator" w:id="0">
    <w:p w:rsidR="00B85C68" w:rsidRDefault="00B85C68" w:rsidP="003318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BrowalliaUPC">
    <w:panose1 w:val="020B0604020202020204"/>
    <w:charset w:val="00"/>
    <w:family w:val="swiss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85C68" w:rsidRDefault="00B85C68" w:rsidP="0033188C">
      <w:pPr>
        <w:spacing w:after="0" w:line="240" w:lineRule="auto"/>
      </w:pPr>
      <w:r>
        <w:separator/>
      </w:r>
    </w:p>
  </w:footnote>
  <w:footnote w:type="continuationSeparator" w:id="0">
    <w:p w:rsidR="00B85C68" w:rsidRDefault="00B85C68" w:rsidP="0033188C">
      <w:pPr>
        <w:spacing w:after="0" w:line="240" w:lineRule="auto"/>
      </w:pPr>
      <w:r>
        <w:continuationSeparator/>
      </w:r>
    </w:p>
  </w:footnote>
  <w:footnote w:id="1">
    <w:p w:rsidR="0033188C" w:rsidRPr="0046265A" w:rsidRDefault="0033188C" w:rsidP="0033188C">
      <w:pPr>
        <w:spacing w:after="120"/>
        <w:rPr>
          <w:rFonts w:ascii="TH SarabunPSK" w:hAnsi="TH SarabunPSK" w:cs="TH SarabunPSK"/>
          <w:sz w:val="24"/>
          <w:szCs w:val="24"/>
          <w:cs/>
        </w:rPr>
      </w:pPr>
      <w:r w:rsidRPr="0046265A">
        <w:rPr>
          <w:rFonts w:ascii="TH SarabunPSK" w:hAnsi="TH SarabunPSK" w:cs="TH SarabunPSK"/>
          <w:szCs w:val="22"/>
        </w:rPr>
        <w:footnoteRef/>
      </w:r>
      <w:r w:rsidRPr="0046265A">
        <w:rPr>
          <w:rFonts w:ascii="TH SarabunPSK" w:hAnsi="TH SarabunPSK" w:cs="TH SarabunPSK"/>
          <w:szCs w:val="22"/>
        </w:rPr>
        <w:t xml:space="preserve"> </w:t>
      </w:r>
      <w:r w:rsidRPr="0046265A">
        <w:rPr>
          <w:rFonts w:ascii="TH SarabunPSK" w:hAnsi="TH SarabunPSK" w:cs="TH SarabunPSK" w:hint="cs"/>
          <w:szCs w:val="22"/>
          <w:cs/>
        </w:rPr>
        <w:t xml:space="preserve"> </w:t>
      </w:r>
      <w:r w:rsidRPr="0046265A">
        <w:rPr>
          <w:rFonts w:ascii="TH SarabunPSK" w:hAnsi="TH SarabunPSK" w:cs="TH SarabunPSK"/>
          <w:szCs w:val="22"/>
          <w:cs/>
        </w:rPr>
        <w:t xml:space="preserve">เงินลงทุนในใบสำคัญแสดงสิทธิที่จะซื้อหุ้น </w:t>
      </w:r>
      <w:r w:rsidRPr="0046265A">
        <w:rPr>
          <w:rFonts w:ascii="TH SarabunPSK" w:hAnsi="TH SarabunPSK" w:cs="TH SarabunPSK"/>
          <w:szCs w:val="22"/>
        </w:rPr>
        <w:t xml:space="preserve">(Warrant) </w:t>
      </w:r>
      <w:r w:rsidRPr="0046265A">
        <w:rPr>
          <w:rFonts w:ascii="TH SarabunPSK" w:hAnsi="TH SarabunPSK" w:cs="TH SarabunPSK" w:hint="cs"/>
          <w:szCs w:val="22"/>
          <w:cs/>
        </w:rPr>
        <w:t>ที่อยู่ในบัญชีเพื่อการค้าจัดเป็น</w:t>
      </w:r>
      <w:r w:rsidRPr="0046265A">
        <w:rPr>
          <w:rFonts w:ascii="TH SarabunPSK" w:hAnsi="TH SarabunPSK" w:cs="TH SarabunPSK"/>
          <w:szCs w:val="22"/>
          <w:cs/>
        </w:rPr>
        <w:t xml:space="preserve"> </w:t>
      </w:r>
      <w:r w:rsidRPr="0046265A">
        <w:rPr>
          <w:rFonts w:ascii="TH SarabunPSK" w:hAnsi="TH SarabunPSK" w:cs="TH SarabunPSK"/>
          <w:szCs w:val="22"/>
        </w:rPr>
        <w:t>Equity Option</w:t>
      </w:r>
      <w:r w:rsidRPr="0046265A">
        <w:rPr>
          <w:rFonts w:ascii="TH SarabunPSK" w:hAnsi="TH SarabunPSK" w:cs="TH SarabunPSK" w:hint="cs"/>
          <w:szCs w:val="22"/>
          <w:cs/>
        </w:rPr>
        <w:t xml:space="preserve"> ภายใต้ประกาศ ธปท. ที่ สนส. 94/2551 เรื่องหลักเกณฑ์</w:t>
      </w:r>
      <w:r>
        <w:rPr>
          <w:rFonts w:ascii="TH SarabunPSK" w:hAnsi="TH SarabunPSK" w:cs="TH SarabunPSK"/>
          <w:szCs w:val="22"/>
          <w:cs/>
        </w:rPr>
        <w:br/>
      </w:r>
      <w:r w:rsidRPr="0046265A">
        <w:rPr>
          <w:rFonts w:ascii="TH SarabunPSK" w:hAnsi="TH SarabunPSK" w:cs="TH SarabunPSK" w:hint="cs"/>
          <w:szCs w:val="22"/>
          <w:cs/>
        </w:rPr>
        <w:t>การกำกับดูแลความเสี่ยงด้านตลาดและการดำรงเงินกองทุนเพื่อรองรับความเสี่ยงด้านตลาดของ สง.</w:t>
      </w:r>
      <w:r w:rsidRPr="0046265A">
        <w:rPr>
          <w:rFonts w:ascii="TH SarabunPSK" w:hAnsi="TH SarabunPSK" w:cs="TH SarabunPSK"/>
          <w:szCs w:val="22"/>
        </w:rPr>
        <w:t xml:space="preserve">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drawingGridHorizontalSpacing w:val="160"/>
  <w:drawingGridVerticalSpacing w:val="435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188C"/>
    <w:rsid w:val="00164686"/>
    <w:rsid w:val="0033188C"/>
    <w:rsid w:val="004014B8"/>
    <w:rsid w:val="00A85041"/>
    <w:rsid w:val="00B85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6D6EFC4"/>
  <w15:chartTrackingRefBased/>
  <w15:docId w15:val="{AB0FA880-C884-4DCB-9675-1EDA50BF11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BrowalliaUPC" w:eastAsiaTheme="minorHAnsi" w:hAnsi="BrowalliaUPC" w:cs="BrowalliaUPC"/>
        <w:sz w:val="32"/>
        <w:szCs w:val="32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3188C"/>
    <w:rPr>
      <w:rFonts w:asciiTheme="minorHAnsi" w:eastAsiaTheme="minorEastAsia" w:hAnsiTheme="minorHAnsi" w:cstheme="minorBidi"/>
      <w:sz w:val="22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14B8"/>
    <w:pPr>
      <w:ind w:left="720"/>
      <w:contextualSpacing/>
    </w:pPr>
    <w:rPr>
      <w:rFonts w:ascii="BrowalliaUPC" w:eastAsiaTheme="minorHAnsi" w:hAnsi="BrowalliaUPC" w:cs="BrowalliaUPC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657</Words>
  <Characters>3749</Characters>
  <Application>Microsoft Office Word</Application>
  <DocSecurity>0</DocSecurity>
  <Lines>31</Lines>
  <Paragraphs>8</Paragraphs>
  <ScaleCrop>false</ScaleCrop>
  <Company/>
  <LinksUpToDate>false</LinksUpToDate>
  <CharactersWithSpaces>4398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สมบัติ แสนบุตร</dc:creator>
  <cp:keywords/>
  <dc:description/>
  <cp:lastModifiedBy>สมบัติ แสนบุตร</cp:lastModifiedBy>
  <cp:revision>1</cp:revision>
  <dcterms:created xsi:type="dcterms:W3CDTF">2018-11-01T04:08:00Z</dcterms:created>
  <dcterms:modified xsi:type="dcterms:W3CDTF">2018-11-01T04:10:00Z</dcterms:modified>
</cp:coreProperties>
</file>