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9A7" w:rsidRPr="00000362" w:rsidRDefault="001579A7" w:rsidP="00F37B75">
      <w:pPr>
        <w:spacing w:after="120" w:line="240" w:lineRule="auto"/>
        <w:rPr>
          <w:rFonts w:ascii="TH SarabunPSK" w:hAnsi="TH SarabunPSK" w:cs="TH SarabunPSK"/>
          <w:b/>
          <w:bCs/>
          <w:spacing w:val="-4"/>
          <w:sz w:val="32"/>
          <w:szCs w:val="32"/>
          <w:u w:val="single"/>
        </w:rPr>
      </w:pPr>
      <w:r w:rsidRPr="0000036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สรุปประเด็นการปรับปรุง</w:t>
      </w:r>
      <w:r w:rsidR="00AE5486" w:rsidRPr="0000036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แบบรายงาน</w:t>
      </w:r>
      <w:r w:rsidR="00AE5486" w:rsidRPr="0000036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การดำรงเงินกองทุนเพื่อรองรับความเสี่ยงด้านตลาด</w:t>
      </w:r>
      <w:r w:rsidR="007D1D42" w:rsidRPr="007D1D4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สำหรับกลุ่มธุรกิจทางการเงิน</w:t>
      </w:r>
      <w:r w:rsidR="00AE5486" w:rsidRPr="0000036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เพื่อรองรับหลักเกณฑ์ </w:t>
      </w:r>
      <w:r w:rsidR="00AE5486" w:rsidRPr="00000362">
        <w:rPr>
          <w:rFonts w:ascii="TH SarabunPSK" w:hAnsi="TH SarabunPSK" w:cs="TH SarabunPSK"/>
          <w:b/>
          <w:bCs/>
          <w:sz w:val="32"/>
          <w:szCs w:val="32"/>
          <w:u w:val="single"/>
        </w:rPr>
        <w:t>Basel III</w:t>
      </w:r>
      <w:r w:rsidRPr="00000362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</w:rPr>
        <w:t xml:space="preserve"> </w:t>
      </w:r>
    </w:p>
    <w:p w:rsidR="00B15335" w:rsidRPr="00000362" w:rsidRDefault="000B1446" w:rsidP="00F37B75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AE5486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AE5486" w:rsidRPr="0000036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D1B8F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แบบรายงานการดำรงเงินกองทุนเพื่อรองรับความเสี่ยง</w:t>
      </w:r>
      <w:r w:rsidR="0050499C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ด้านตลาด</w:t>
      </w:r>
      <w:r w:rsidR="00AE5486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A837DE" w:rsidRPr="00000362" w:rsidRDefault="00A837DE" w:rsidP="00F37B75">
      <w:pPr>
        <w:tabs>
          <w:tab w:val="left" w:pos="851"/>
        </w:tabs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000362">
        <w:rPr>
          <w:rFonts w:ascii="TH SarabunPSK" w:hAnsi="TH SarabunPSK" w:cs="TH SarabunPSK"/>
          <w:b/>
          <w:bCs/>
          <w:sz w:val="32"/>
          <w:szCs w:val="32"/>
        </w:rPr>
        <w:tab/>
      </w:r>
      <w:r w:rsidRPr="00000362">
        <w:rPr>
          <w:rFonts w:ascii="TH SarabunPSK" w:hAnsi="TH SarabunPSK" w:cs="TH SarabunPSK" w:hint="cs"/>
          <w:sz w:val="32"/>
          <w:szCs w:val="32"/>
          <w:cs/>
        </w:rPr>
        <w:t>ธปท. ได้ปรับปรุงแบบรายงานการดำรงเงินกองทุนเพื่อรองรับความเสี่ยงด้านตลาด</w:t>
      </w:r>
      <w:r w:rsidR="0013270E" w:rsidRPr="00000362">
        <w:rPr>
          <w:rFonts w:ascii="TH SarabunPSK" w:hAnsi="TH SarabunPSK" w:cs="TH SarabunPSK" w:hint="cs"/>
          <w:sz w:val="32"/>
          <w:szCs w:val="32"/>
          <w:cs/>
        </w:rPr>
        <w:t xml:space="preserve"> (หน้าสรุป) โดยเพิ่มข้อ 2.3 และ 2.4 ให้แสดงมูลค่าเงินกองทุน</w:t>
      </w:r>
      <w:r w:rsidR="00000362" w:rsidRPr="00000362">
        <w:rPr>
          <w:rFonts w:ascii="TH SarabunPSK" w:hAnsi="TH SarabunPSK" w:cs="TH SarabunPSK" w:hint="cs"/>
          <w:sz w:val="32"/>
          <w:szCs w:val="32"/>
          <w:cs/>
        </w:rPr>
        <w:t>สำหรับฐานะ</w:t>
      </w:r>
      <w:r w:rsidR="0013270E" w:rsidRPr="00000362">
        <w:rPr>
          <w:rFonts w:ascii="TH SarabunPSK" w:hAnsi="TH SarabunPSK" w:cs="TH SarabunPSK" w:hint="cs"/>
          <w:sz w:val="32"/>
          <w:szCs w:val="32"/>
          <w:cs/>
        </w:rPr>
        <w:t>ที่เข้าข่ายต้องคำนวณสินทรัพย์เสี่ยงด้านตลาดโดยใช้น้ำหนัก</w:t>
      </w:r>
      <w:r w:rsidR="00000362" w:rsidRPr="00000362">
        <w:rPr>
          <w:rFonts w:ascii="TH SarabunPSK" w:hAnsi="TH SarabunPSK" w:cs="TH SarabunPSK" w:hint="cs"/>
          <w:sz w:val="32"/>
          <w:szCs w:val="32"/>
          <w:cs/>
        </w:rPr>
        <w:t>ความเสี่ยง</w:t>
      </w:r>
      <w:r w:rsidR="0013270E" w:rsidRPr="00000362">
        <w:rPr>
          <w:rFonts w:ascii="TH SarabunPSK" w:hAnsi="TH SarabunPSK" w:cs="TH SarabunPSK" w:hint="cs"/>
          <w:sz w:val="32"/>
          <w:szCs w:val="32"/>
          <w:cs/>
        </w:rPr>
        <w:t xml:space="preserve">ที่กำหนดตามหลักเกณฑ์ </w:t>
      </w:r>
      <w:r w:rsidR="0013270E" w:rsidRPr="00000362">
        <w:rPr>
          <w:rFonts w:ascii="TH SarabunPSK" w:hAnsi="TH SarabunPSK" w:cs="TH SarabunPSK"/>
          <w:sz w:val="32"/>
          <w:szCs w:val="32"/>
        </w:rPr>
        <w:t xml:space="preserve">Basel III </w:t>
      </w:r>
      <w:r w:rsidR="00881A74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13270E" w:rsidRPr="00000362">
        <w:rPr>
          <w:rFonts w:ascii="TH SarabunPSK" w:hAnsi="TH SarabunPSK" w:cs="TH SarabunPSK" w:hint="cs"/>
          <w:sz w:val="32"/>
          <w:szCs w:val="32"/>
          <w:cs/>
        </w:rPr>
        <w:t xml:space="preserve">เงินกองทุน </w:t>
      </w:r>
      <w:r w:rsidR="0046265A">
        <w:rPr>
          <w:rFonts w:ascii="TH SarabunPSK" w:hAnsi="TH SarabunPSK" w:cs="TH SarabunPSK" w:hint="cs"/>
          <w:sz w:val="32"/>
          <w:szCs w:val="32"/>
          <w:cs/>
        </w:rPr>
        <w:t xml:space="preserve">ซึ่งฐานะดังกล่าวอาจอยู่ในรูปของตราสารทุน หรือ </w:t>
      </w:r>
      <w:r w:rsidR="0046265A">
        <w:rPr>
          <w:rFonts w:ascii="TH SarabunPSK" w:hAnsi="TH SarabunPSK" w:cs="TH SarabunPSK"/>
          <w:sz w:val="32"/>
          <w:szCs w:val="32"/>
        </w:rPr>
        <w:t>Equity Option</w:t>
      </w:r>
      <w:r w:rsidR="0046265A">
        <w:rPr>
          <w:rStyle w:val="FootnoteReference"/>
          <w:rFonts w:ascii="TH SarabunPSK" w:hAnsi="TH SarabunPSK" w:cs="TH SarabunPSK"/>
          <w:sz w:val="32"/>
          <w:szCs w:val="32"/>
        </w:rPr>
        <w:footnoteReference w:id="1"/>
      </w:r>
      <w:r w:rsidR="0046265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289A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tbl>
      <w:tblPr>
        <w:tblStyle w:val="TableGrid"/>
        <w:tblW w:w="0" w:type="auto"/>
        <w:tblLook w:val="04A0"/>
      </w:tblPr>
      <w:tblGrid>
        <w:gridCol w:w="3927"/>
        <w:gridCol w:w="871"/>
        <w:gridCol w:w="4778"/>
      </w:tblGrid>
      <w:tr w:rsidR="0050499C" w:rsidRPr="00000362" w:rsidTr="00C368D3">
        <w:tc>
          <w:tcPr>
            <w:tcW w:w="3936" w:type="dxa"/>
          </w:tcPr>
          <w:p w:rsidR="0050499C" w:rsidRPr="00000362" w:rsidRDefault="003E4DEA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ประเด็นการแก้ไข</w:t>
            </w:r>
          </w:p>
        </w:tc>
        <w:tc>
          <w:tcPr>
            <w:tcW w:w="850" w:type="dxa"/>
          </w:tcPr>
          <w:p w:rsidR="0050499C" w:rsidRPr="00000362" w:rsidRDefault="001B2E68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คอลัมน์</w:t>
            </w:r>
          </w:p>
        </w:tc>
        <w:tc>
          <w:tcPr>
            <w:tcW w:w="4790" w:type="dxa"/>
          </w:tcPr>
          <w:p w:rsidR="0050499C" w:rsidRPr="00000362" w:rsidRDefault="003E4DEA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แนวทางการรายงาน</w:t>
            </w:r>
          </w:p>
        </w:tc>
      </w:tr>
      <w:tr w:rsidR="0050499C" w:rsidRPr="00000362" w:rsidTr="00C368D3">
        <w:tc>
          <w:tcPr>
            <w:tcW w:w="3936" w:type="dxa"/>
          </w:tcPr>
          <w:p w:rsidR="0050499C" w:rsidRPr="00000362" w:rsidRDefault="001B2E68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93AD4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</w:t>
            </w:r>
            <w:r w:rsidR="008B3898" w:rsidRPr="00000362">
              <w:rPr>
                <w:sz w:val="24"/>
                <w:szCs w:val="32"/>
              </w:rPr>
              <w:t xml:space="preserve"> </w:t>
            </w:r>
            <w:r w:rsidR="008B3898"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2.3 เงินกองทุนเพื่อรองรับ</w:t>
            </w:r>
            <w:r w:rsidR="00677606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8B3898"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ความเสี่ยงจากเงินลงทุนในบริษัทที่ทำธุรกิจทางการเงินและธุรกิจสนับสนุนที่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="008B3898"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ถือหุ้นเกินกว่าร้อยละ 10 ของจำนวนหุ้นที่จำหน่ายได้แล้วทั้งหมดของบริษัทนั้นซึ่งอยู่ในบัญชีเพื่อการค้า</w:t>
            </w:r>
          </w:p>
        </w:tc>
        <w:tc>
          <w:tcPr>
            <w:tcW w:w="850" w:type="dxa"/>
          </w:tcPr>
          <w:p w:rsidR="0050499C" w:rsidRPr="00000362" w:rsidRDefault="008B3898" w:rsidP="00F37B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4790" w:type="dxa"/>
          </w:tcPr>
          <w:p w:rsidR="0050499C" w:rsidRPr="00000362" w:rsidRDefault="00F64953" w:rsidP="001D647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กำหนดให้มี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มูลค่าเท่ากับผลรวมของเงินลงทุนใน</w:t>
            </w:r>
            <w:r w:rsidR="006776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บริษัทที่ทำธุรกิจทางการเงินและธุรกิจสนับสนุน</w:t>
            </w:r>
            <w:r w:rsidR="00CA433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ทั้งที่อยู่ในรูป</w:t>
            </w:r>
            <w:r w:rsidR="0046265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ตราสารทุนและ </w:t>
            </w:r>
            <w:r w:rsidR="00847611"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A433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33A74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="00033A74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</w:t>
            </w:r>
            <w:r w:rsidR="00A5289A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ตารางที่ 3.1</w:t>
            </w:r>
            <w:r w:rsidR="00033A74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A433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33A74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คอลัมน์ </w:t>
            </w:r>
            <w:r w:rsidR="00033A74" w:rsidRPr="00000362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50499C" w:rsidRPr="00000362" w:rsidTr="00C368D3">
        <w:tc>
          <w:tcPr>
            <w:tcW w:w="3936" w:type="dxa"/>
          </w:tcPr>
          <w:p w:rsidR="0050499C" w:rsidRPr="00000362" w:rsidRDefault="00393AD4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="00847611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ข้อ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2.4 เงินกองทุนเพื่อรองรับ</w:t>
            </w:r>
            <w:r w:rsidR="00677606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ความเสี่ยงจากเงินลงทุนในบริษัทที่ประกอบธุรกิจอื่น</w:t>
            </w:r>
            <w:r w:rsidR="00CA43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ๆ ที่ไม่ใช่ธุรกิจทางการเงินและธุรกิจสนับสนุนที่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="00CA433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ถือหุ้นเกินกว่าร้อยละ 10 ของจำนวนหุ้น</w:t>
            </w:r>
            <w:r w:rsidR="00CA433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ที่จำหน่ายได้แล้วทั้งหมดของบริษัทนั้น</w:t>
            </w:r>
            <w:r w:rsidR="00CA433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ซึ่งอยู่ในบัญชีเพื่อการค้า </w:t>
            </w:r>
          </w:p>
        </w:tc>
        <w:tc>
          <w:tcPr>
            <w:tcW w:w="850" w:type="dxa"/>
          </w:tcPr>
          <w:p w:rsidR="0050499C" w:rsidRPr="00000362" w:rsidRDefault="00393AD4" w:rsidP="00F37B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4790" w:type="dxa"/>
          </w:tcPr>
          <w:p w:rsidR="0050499C" w:rsidRPr="00000362" w:rsidRDefault="00033A74" w:rsidP="00F37B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กำหนดให้มีมูลค่าเท่ากับผลรวมของเงินลงทุนใน</w:t>
            </w:r>
            <w:r w:rsidR="0067760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บริษัทที่ทำธุรกิจอื่น</w:t>
            </w:r>
            <w:r w:rsidR="00CA43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ๆ ทั้งที่อยู่ในรูป</w:t>
            </w:r>
            <w:r w:rsidR="0046265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ตราสารทุน</w:t>
            </w:r>
            <w:r w:rsidR="00CA433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</w:t>
            </w:r>
            <w:r w:rsidR="00A5289A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ตารางที่ 3.1 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F</w:t>
            </w:r>
          </w:p>
        </w:tc>
      </w:tr>
    </w:tbl>
    <w:p w:rsidR="00033A74" w:rsidRPr="00000362" w:rsidRDefault="0046265A" w:rsidP="00F37B75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/>
      </w:r>
      <w:r w:rsidR="00033A74" w:rsidRPr="00000362">
        <w:rPr>
          <w:rFonts w:ascii="TH SarabunPSK" w:hAnsi="TH SarabunPSK" w:cs="TH SarabunPSK"/>
          <w:b/>
          <w:bCs/>
          <w:sz w:val="32"/>
          <w:szCs w:val="32"/>
        </w:rPr>
        <w:t>2</w:t>
      </w:r>
      <w:r w:rsidR="00033A74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33A74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3.1 ตาราง</w:t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สรุปเงินกองทุนเพื่อรองรับความเสี่ยงจากเงินลงทุนในบริษัทที่ทำธุรกิจทางการเงิน</w:t>
      </w:r>
      <w:r w:rsidR="005377F6">
        <w:rPr>
          <w:rFonts w:ascii="TH SarabunPSK" w:hAnsi="TH SarabunPSK" w:cs="TH SarabunPSK"/>
          <w:b/>
          <w:bCs/>
          <w:sz w:val="32"/>
          <w:szCs w:val="32"/>
        </w:rPr>
        <w:br/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และธุรกิจสนับสนุนที่</w:t>
      </w:r>
      <w:r w:rsidR="00CA4339" w:rsidRPr="00CA4339">
        <w:rPr>
          <w:rFonts w:ascii="TH SarabunPSK" w:hAnsi="TH SarabunPSK" w:cs="TH SarabunPSK"/>
          <w:b/>
          <w:bCs/>
          <w:sz w:val="32"/>
          <w:szCs w:val="32"/>
          <w:cs/>
        </w:rPr>
        <w:t>กลุ่มธุรกิจทางการเงิน</w:t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ถือหุ้นเกินกว่าร้อยละ 10 ของจำนวนหุ้นที่จำหน่ายได้แล้วทั้งหมดของบริษัทนั้น</w:t>
      </w:r>
      <w:r w:rsidR="00571B02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และเงินลงทุนในบริษัทที่ประกอบธุรกิจอื่น</w:t>
      </w:r>
      <w:r w:rsidR="00CA433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ๆ ที่ไม่ใช่ธุรกิจทางการเงินและธุรกิจสนับสนุน</w:t>
      </w:r>
      <w:r w:rsidR="00CA4339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CA4339" w:rsidRPr="00CA4339">
        <w:rPr>
          <w:rFonts w:ascii="TH SarabunPSK" w:hAnsi="TH SarabunPSK" w:cs="TH SarabunPSK"/>
          <w:b/>
          <w:bCs/>
          <w:sz w:val="32"/>
          <w:szCs w:val="32"/>
          <w:cs/>
        </w:rPr>
        <w:t>กลุ่มธุรกิจทางการเงิน</w:t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ถือหุ้นเกินกว่าร้อยละ 10 ของจำนวนหุ้นที่จำหน่ายได้แล้วทั้งหมดของบริษัทนั้น</w:t>
      </w:r>
      <w:r w:rsidR="00571B02"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A4339"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="00033A74" w:rsidRPr="00000362">
        <w:rPr>
          <w:rFonts w:ascii="TH SarabunPSK" w:hAnsi="TH SarabunPSK" w:cs="TH SarabunPSK"/>
          <w:b/>
          <w:bCs/>
          <w:sz w:val="32"/>
          <w:szCs w:val="32"/>
          <w:cs/>
        </w:rPr>
        <w:t>ซึ่งอยู่ในบัญชีเพื่อการค้า</w:t>
      </w:r>
    </w:p>
    <w:p w:rsidR="00A5289A" w:rsidRDefault="00000362" w:rsidP="00F37B75">
      <w:pPr>
        <w:tabs>
          <w:tab w:val="left" w:pos="851"/>
        </w:tabs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000362">
        <w:rPr>
          <w:rFonts w:ascii="TH SarabunPSK" w:hAnsi="TH SarabunPSK" w:cs="TH SarabunPSK" w:hint="cs"/>
          <w:sz w:val="32"/>
          <w:szCs w:val="32"/>
          <w:cs/>
        </w:rPr>
        <w:tab/>
        <w:t>ธปท. ได้</w:t>
      </w:r>
      <w:r>
        <w:rPr>
          <w:rFonts w:ascii="TH SarabunPSK" w:hAnsi="TH SarabunPSK" w:cs="TH SarabunPSK" w:hint="cs"/>
          <w:sz w:val="32"/>
          <w:szCs w:val="32"/>
          <w:cs/>
        </w:rPr>
        <w:t>เพิ่มตารางที่ 3.1 เพื่อรองรับการรายงาน</w:t>
      </w:r>
      <w:r w:rsidRPr="00000362">
        <w:rPr>
          <w:rFonts w:ascii="TH SarabunPSK" w:hAnsi="TH SarabunPSK" w:cs="TH SarabunPSK" w:hint="cs"/>
          <w:sz w:val="32"/>
          <w:szCs w:val="32"/>
          <w:cs/>
        </w:rPr>
        <w:t xml:space="preserve">มูลค่าเงินกองทุนสำหรับฐานะที่เข้าข่ายต้องคำนวณสินทรัพย์เสี่ยงด้านตลาดโดยใช้น้ำหนักความเสี่ยงที่กำหนดตามหลักเกณฑ์ </w:t>
      </w:r>
      <w:r w:rsidRPr="00000362">
        <w:rPr>
          <w:rFonts w:ascii="TH SarabunPSK" w:hAnsi="TH SarabunPSK" w:cs="TH SarabunPSK"/>
          <w:sz w:val="32"/>
          <w:szCs w:val="32"/>
        </w:rPr>
        <w:t xml:space="preserve">Basel III </w:t>
      </w:r>
      <w:r w:rsidR="00881A74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000362">
        <w:rPr>
          <w:rFonts w:ascii="TH SarabunPSK" w:hAnsi="TH SarabunPSK" w:cs="TH SarabunPSK" w:hint="cs"/>
          <w:sz w:val="32"/>
          <w:szCs w:val="32"/>
          <w:cs/>
        </w:rPr>
        <w:t xml:space="preserve">เงินกองทุน </w:t>
      </w:r>
      <w:r w:rsidR="00A5289A">
        <w:rPr>
          <w:rFonts w:ascii="TH SarabunPSK" w:hAnsi="TH SarabunPSK" w:cs="TH SarabunPSK" w:hint="cs"/>
          <w:sz w:val="32"/>
          <w:szCs w:val="32"/>
          <w:cs/>
        </w:rPr>
        <w:t xml:space="preserve">ซึ่งฐานะดังกล่าวอาจอยู่ในรูปของตราสารทุน หรือ </w:t>
      </w:r>
      <w:r w:rsidR="00A5289A">
        <w:rPr>
          <w:rFonts w:ascii="TH SarabunPSK" w:hAnsi="TH SarabunPSK" w:cs="TH SarabunPSK"/>
          <w:sz w:val="32"/>
          <w:szCs w:val="32"/>
        </w:rPr>
        <w:t>Equity Option</w:t>
      </w:r>
      <w:r w:rsidR="00011160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CA4339" w:rsidRPr="00CA4339">
        <w:rPr>
          <w:rFonts w:ascii="TH SarabunPSK" w:hAnsi="TH SarabunPSK" w:cs="TH SarabunPSK"/>
          <w:sz w:val="32"/>
          <w:szCs w:val="32"/>
          <w:cs/>
        </w:rPr>
        <w:t>กลุ่มธุรกิจทางการเงิน</w:t>
      </w:r>
      <w:r w:rsidR="00A5289A">
        <w:rPr>
          <w:rFonts w:ascii="TH SarabunPSK" w:hAnsi="TH SarabunPSK" w:cs="TH SarabunPSK" w:hint="cs"/>
          <w:sz w:val="32"/>
          <w:szCs w:val="32"/>
          <w:cs/>
        </w:rPr>
        <w:t xml:space="preserve">อาจเลือกใช้วิธีมาตรฐานหรือวิธีแบบจำลองในการคำนวณ </w:t>
      </w:r>
      <w:r w:rsidR="00011160">
        <w:rPr>
          <w:rFonts w:ascii="TH SarabunPSK" w:hAnsi="TH SarabunPSK" w:cs="TH SarabunPSK" w:hint="cs"/>
          <w:sz w:val="32"/>
          <w:szCs w:val="32"/>
          <w:cs/>
        </w:rPr>
        <w:t>โดยมูลค่าที่รายงานในตารางนี้จะต้องไม่รวมอยู่ในตารางสรุปเงินกองทุนเพื่อรองรับความเสี่ยงด้านราคาตราสารทุนตามวิธีมาตรฐาน (ตารางที่ 3)</w:t>
      </w:r>
      <w:r w:rsidR="00AC33E7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  <w:r w:rsidR="0001116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76403" w:rsidRPr="00000362" w:rsidRDefault="00776403" w:rsidP="00F37B75">
      <w:pPr>
        <w:tabs>
          <w:tab w:val="left" w:pos="851"/>
        </w:tabs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3926"/>
        <w:gridCol w:w="871"/>
        <w:gridCol w:w="4779"/>
      </w:tblGrid>
      <w:tr w:rsidR="00033A74" w:rsidRPr="00000362" w:rsidTr="000B0ED9">
        <w:tc>
          <w:tcPr>
            <w:tcW w:w="3936" w:type="dxa"/>
          </w:tcPr>
          <w:p w:rsidR="00033A74" w:rsidRPr="00000362" w:rsidRDefault="00033A74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ประเด็นการแก้ไข</w:t>
            </w:r>
          </w:p>
        </w:tc>
        <w:tc>
          <w:tcPr>
            <w:tcW w:w="850" w:type="dxa"/>
          </w:tcPr>
          <w:p w:rsidR="00033A74" w:rsidRPr="00000362" w:rsidRDefault="00033A74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คอลัมน์</w:t>
            </w:r>
          </w:p>
        </w:tc>
        <w:tc>
          <w:tcPr>
            <w:tcW w:w="4790" w:type="dxa"/>
          </w:tcPr>
          <w:p w:rsidR="00033A74" w:rsidRPr="00000362" w:rsidRDefault="00033A74" w:rsidP="00F37B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แนวทางการรายงาน</w:t>
            </w:r>
          </w:p>
        </w:tc>
      </w:tr>
      <w:tr w:rsidR="00033A74" w:rsidRPr="00000362" w:rsidTr="000B0ED9">
        <w:tc>
          <w:tcPr>
            <w:tcW w:w="3936" w:type="dxa"/>
          </w:tcPr>
          <w:p w:rsidR="00033A74" w:rsidRPr="00000362" w:rsidRDefault="00033A74" w:rsidP="00F37B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71B02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เงินลงทุนในธุรกิจทางการเงินและธุรกิจสนับสนุน</w:t>
            </w:r>
          </w:p>
        </w:tc>
        <w:tc>
          <w:tcPr>
            <w:tcW w:w="850" w:type="dxa"/>
          </w:tcPr>
          <w:p w:rsidR="00033A74" w:rsidRPr="00000362" w:rsidRDefault="00033A74" w:rsidP="00F37B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6954F8" w:rsidRPr="00000362">
              <w:rPr>
                <w:rFonts w:ascii="TH SarabunPSK" w:hAnsi="TH SarabunPSK" w:cs="TH SarabunPSK"/>
                <w:sz w:val="32"/>
                <w:szCs w:val="32"/>
              </w:rPr>
              <w:t xml:space="preserve"> ,</w:t>
            </w:r>
            <w:r w:rsidR="00571B02" w:rsidRPr="00000362">
              <w:rPr>
                <w:rFonts w:ascii="TH SarabunPSK" w:hAnsi="TH SarabunPSK" w:cs="TH SarabunPSK"/>
                <w:sz w:val="32"/>
                <w:szCs w:val="32"/>
              </w:rPr>
              <w:t xml:space="preserve"> C</w:t>
            </w:r>
          </w:p>
        </w:tc>
        <w:tc>
          <w:tcPr>
            <w:tcW w:w="4790" w:type="dxa"/>
          </w:tcPr>
          <w:p w:rsidR="00033A74" w:rsidRPr="00000362" w:rsidRDefault="00571B02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</w:t>
            </w:r>
            <w:r w:rsidR="00CA433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เพื่อรองรับความเสี่ยงจากเงินลงทุนในบริษัทที่ทำธุรกิจทางการเงินและธุรกิจสนับสนุนที่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ถือหุ้นเกินกว่าร้อยละ 10 ของจำนวนหุ้นที่จำหน่าย</w:t>
            </w:r>
            <w:r w:rsidR="00CA433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ได้แล้วทั้งหมดของบริษัทนั้นซึ่งอยู่ในบัญชีเพื่อการค้า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A433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44E16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ที่คำนวณโดยใช้น้ำหนักเงินกองทุนตั้งแต่ร้อยละ 20 </w:t>
            </w:r>
            <w:r w:rsidR="006954F8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(เทียบเท่าน้ำหนักความเสี่ยงร้อยละ 250) </w:t>
            </w:r>
            <w:r w:rsidR="00044E16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ขึ้นไป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ตามแต่ละกรณี ดังนี้</w:t>
            </w:r>
            <w:r w:rsidR="00033A74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571B02" w:rsidRPr="00000362" w:rsidRDefault="00571B02" w:rsidP="00F37B75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1</w:t>
            </w:r>
            <w:r w:rsidR="006954F8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.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กรณี</w:t>
            </w:r>
            <w:r w:rsidR="000B0ED9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เป็นตราสารทุนและอนุพันธ์ทางการเงินที่อ้างอิงราคาตราสารทุน</w:t>
            </w:r>
            <w:r w:rsidR="00044E16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</w:t>
            </w:r>
            <w:r w:rsidR="000B0ED9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ยกเว้น </w:t>
            </w:r>
            <w:r w:rsidR="000B0ED9"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="00044E16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044E16" w:rsidRPr="00000362" w:rsidRDefault="000B0ED9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รายงานมูลค่าเงินกองทุนในแถว “ตราสารทุน” โดย</w:t>
            </w:r>
          </w:p>
          <w:p w:rsidR="00E33869" w:rsidRPr="00000362" w:rsidRDefault="00044E16" w:rsidP="00F37B75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- รายงานใน</w:t>
            </w:r>
            <w:r w:rsidR="000B0ED9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คอลัมน์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หาก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ใช้วิธีมาตรฐาน</w:t>
            </w:r>
            <w:r w:rsidR="00E33869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สำหรับตราสารทุน</w:t>
            </w:r>
          </w:p>
          <w:p w:rsidR="00E33869" w:rsidRPr="00000362" w:rsidRDefault="00E33869" w:rsidP="00F37B75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- รายงานในคอลัมน์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C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หาก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ใช้วิธีแบบจำลองสำหรับตราสารทุน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(รวมถึง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Option)</w:t>
            </w:r>
          </w:p>
          <w:p w:rsidR="00E33869" w:rsidRPr="00000362" w:rsidRDefault="00E33869" w:rsidP="00F37B75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2</w:t>
            </w:r>
            <w:r w:rsidR="006954F8"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.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กรณีเป็น </w:t>
            </w:r>
            <w:r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0B0ED9" w:rsidRPr="00000362" w:rsidRDefault="00E33869" w:rsidP="00F37B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รายงานมูลค่าเงินกองทุนในแถว “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” โดยรายงานในคอลัมน์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A433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6954F8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ทั้งกรณีที่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ใช้วิธี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Simplified Method, Delta Plus Method,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Contingent Loss Method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สำหรับ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="00044E16" w:rsidRPr="000003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B0ED9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033A74" w:rsidRPr="00000362" w:rsidTr="000B0ED9">
        <w:tc>
          <w:tcPr>
            <w:tcW w:w="3936" w:type="dxa"/>
          </w:tcPr>
          <w:p w:rsidR="00033A74" w:rsidRPr="00000362" w:rsidRDefault="00033A74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954F8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เงินลงทุนในธุรกิจอื่น</w:t>
            </w:r>
            <w:r w:rsidR="00CA43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954F8"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ๆ </w:t>
            </w:r>
          </w:p>
        </w:tc>
        <w:tc>
          <w:tcPr>
            <w:tcW w:w="850" w:type="dxa"/>
          </w:tcPr>
          <w:p w:rsidR="00033A74" w:rsidRPr="00000362" w:rsidRDefault="006954F8" w:rsidP="00F37B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B , D</w:t>
            </w:r>
          </w:p>
        </w:tc>
        <w:tc>
          <w:tcPr>
            <w:tcW w:w="4790" w:type="dxa"/>
          </w:tcPr>
          <w:p w:rsidR="006954F8" w:rsidRPr="00000362" w:rsidRDefault="006954F8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</w:t>
            </w:r>
            <w:r w:rsidR="00CA4339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เพื่อรองรับความเสี่ยงจากเงินลงทุนในบริษัทที่ประกอบธุรกิจอื่น</w:t>
            </w:r>
            <w:r w:rsidR="00CA43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ๆ ที่ไม่ใช่ธุรกิจทางการเงินและธุรกิจสนับสนุนที่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ถือหุ้นเกินกว่าร้อยละ 10 ของจำนวนหุ้นที่จำหน่ายได้แล้วทั้งหมดของบริษัทนั้นซึ่งอยู่ในบัญชีเพื่อการค้า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ที่คำนวณโดยใช้น้ำหนักเงินกองทุนร้อยละ </w:t>
            </w:r>
            <w:r w:rsidR="00226E19">
              <w:rPr>
                <w:rFonts w:ascii="TH SarabunPSK" w:hAnsi="TH SarabunPSK" w:cs="TH SarabunPSK" w:hint="cs"/>
                <w:sz w:val="32"/>
                <w:szCs w:val="32"/>
                <w:cs/>
              </w:rPr>
              <w:t>94.1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E1C90" w:rsidRPr="00CE1C90">
              <w:rPr>
                <w:rFonts w:ascii="TH SarabunPSK" w:hAnsi="TH SarabunPSK" w:cs="TH SarabunPSK"/>
                <w:sz w:val="32"/>
                <w:szCs w:val="32"/>
                <w:cs/>
              </w:rPr>
              <w:t>(เทียบเท่าน้ำหนักความเสี่ยงร้อยละของ 100 หารด้วยร้อยละ 8.5)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ตามแต่ละกรณี ดังนี้ </w:t>
            </w:r>
            <w:r w:rsidR="00CA4339"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  <w:p w:rsidR="006954F8" w:rsidRPr="00000362" w:rsidRDefault="006954F8" w:rsidP="00F37B75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lastRenderedPageBreak/>
              <w:t xml:space="preserve">1. กรณีเป็นตราสารทุนและอนุพันธ์ทางการเงินที่อ้างอิงราคาตราสารทุน ยกเว้น </w:t>
            </w:r>
            <w:r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6954F8" w:rsidRPr="00000362" w:rsidRDefault="006954F8" w:rsidP="00F37B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รายงานมูลค่าเงินกองทุนในแถว “ตราสารทุน” โดย</w:t>
            </w:r>
          </w:p>
          <w:p w:rsidR="006954F8" w:rsidRPr="00000362" w:rsidRDefault="006954F8" w:rsidP="00F37B75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รายงานในคอลัมน์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หาก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ใช้วิธีมาตรฐานสำหรับตราสารทุน</w:t>
            </w:r>
          </w:p>
          <w:p w:rsidR="006954F8" w:rsidRPr="00000362" w:rsidRDefault="006954F8" w:rsidP="00F37B75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- รายงานในคอลัมน์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D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หาก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ใช้วิธีแบบจำลองสำหรับตราสารทุน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(รวมถึง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Option)</w:t>
            </w:r>
          </w:p>
          <w:p w:rsidR="006954F8" w:rsidRPr="00000362" w:rsidRDefault="006954F8" w:rsidP="00F37B75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2. กรณีเป็น </w:t>
            </w:r>
            <w:r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033A74" w:rsidRPr="00000362" w:rsidRDefault="006954F8" w:rsidP="00F37B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="00CA4339"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</w:t>
            </w:r>
            <w:r w:rsidR="00CA433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ในแถว “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” โดยรายงานในคอลัมน์ </w:t>
            </w:r>
            <w:r w:rsidR="00A837DE" w:rsidRPr="00000362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ทั้งกรณีที่ใช้วิธี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Simplified Method, Delta Plus Method,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Contingent Loss Method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สำหรับ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</w:p>
        </w:tc>
      </w:tr>
    </w:tbl>
    <w:p w:rsidR="00033A74" w:rsidRDefault="00033A74" w:rsidP="00CA4339">
      <w:pPr>
        <w:spacing w:line="240" w:lineRule="auto"/>
        <w:rPr>
          <w:rFonts w:ascii="TH SarabunPSK" w:hAnsi="TH SarabunPSK" w:cs="TH SarabunPSK"/>
          <w:sz w:val="32"/>
          <w:szCs w:val="32"/>
        </w:rPr>
      </w:pPr>
    </w:p>
    <w:sectPr w:rsidR="00033A74" w:rsidSect="007764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40" w:bottom="1418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4C6" w:rsidRDefault="00CA74C6" w:rsidP="00876F09">
      <w:pPr>
        <w:spacing w:after="0" w:line="240" w:lineRule="auto"/>
      </w:pPr>
      <w:r>
        <w:separator/>
      </w:r>
    </w:p>
  </w:endnote>
  <w:endnote w:type="continuationSeparator" w:id="0">
    <w:p w:rsidR="00CA74C6" w:rsidRDefault="00CA74C6" w:rsidP="00876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A03" w:rsidRDefault="00B42A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62" w:rsidRDefault="0000036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A03" w:rsidRDefault="00B42A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4C6" w:rsidRDefault="00CA74C6" w:rsidP="00876F09">
      <w:pPr>
        <w:spacing w:after="0" w:line="240" w:lineRule="auto"/>
      </w:pPr>
      <w:r>
        <w:separator/>
      </w:r>
    </w:p>
  </w:footnote>
  <w:footnote w:type="continuationSeparator" w:id="0">
    <w:p w:rsidR="00CA74C6" w:rsidRDefault="00CA74C6" w:rsidP="00876F09">
      <w:pPr>
        <w:spacing w:after="0" w:line="240" w:lineRule="auto"/>
      </w:pPr>
      <w:r>
        <w:continuationSeparator/>
      </w:r>
    </w:p>
  </w:footnote>
  <w:footnote w:id="1">
    <w:p w:rsidR="0046265A" w:rsidRPr="0046265A" w:rsidRDefault="0046265A" w:rsidP="0046265A">
      <w:pPr>
        <w:pStyle w:val="FootnoteText"/>
        <w:spacing w:after="120"/>
        <w:rPr>
          <w:rFonts w:ascii="TH SarabunPSK" w:hAnsi="TH SarabunPSK" w:cs="TH SarabunPSK"/>
          <w:sz w:val="24"/>
          <w:szCs w:val="24"/>
          <w:cs/>
        </w:rPr>
      </w:pPr>
      <w:r w:rsidRPr="0046265A">
        <w:rPr>
          <w:rStyle w:val="FootnoteReference"/>
          <w:rFonts w:ascii="TH SarabunPSK" w:hAnsi="TH SarabunPSK" w:cs="TH SarabunPSK"/>
          <w:sz w:val="22"/>
          <w:szCs w:val="22"/>
        </w:rPr>
        <w:footnoteRef/>
      </w:r>
      <w:r w:rsidRPr="0046265A">
        <w:rPr>
          <w:rFonts w:ascii="TH SarabunPSK" w:hAnsi="TH SarabunPSK" w:cs="TH SarabunPSK"/>
          <w:sz w:val="22"/>
          <w:szCs w:val="22"/>
        </w:rPr>
        <w:t xml:space="preserve"> </w:t>
      </w:r>
      <w:r w:rsidRPr="0046265A">
        <w:rPr>
          <w:rFonts w:ascii="TH SarabunPSK" w:hAnsi="TH SarabunPSK" w:cs="TH SarabunPSK" w:hint="cs"/>
          <w:sz w:val="22"/>
          <w:szCs w:val="22"/>
          <w:cs/>
        </w:rPr>
        <w:t xml:space="preserve"> </w:t>
      </w:r>
      <w:r w:rsidRPr="0046265A">
        <w:rPr>
          <w:rFonts w:ascii="TH SarabunPSK" w:hAnsi="TH SarabunPSK" w:cs="TH SarabunPSK"/>
          <w:sz w:val="22"/>
          <w:szCs w:val="22"/>
          <w:cs/>
        </w:rPr>
        <w:t xml:space="preserve">เงินลงทุนในใบสำคัญแสดงสิทธิที่จะซื้อหุ้น </w:t>
      </w:r>
      <w:r w:rsidRPr="0046265A">
        <w:rPr>
          <w:rFonts w:ascii="TH SarabunPSK" w:hAnsi="TH SarabunPSK" w:cs="TH SarabunPSK"/>
          <w:sz w:val="22"/>
          <w:szCs w:val="22"/>
        </w:rPr>
        <w:t xml:space="preserve">(Warrant) </w:t>
      </w:r>
      <w:r w:rsidRPr="0046265A">
        <w:rPr>
          <w:rFonts w:ascii="TH SarabunPSK" w:hAnsi="TH SarabunPSK" w:cs="TH SarabunPSK" w:hint="cs"/>
          <w:sz w:val="22"/>
          <w:szCs w:val="22"/>
          <w:cs/>
        </w:rPr>
        <w:t>ที่อยู่ในบัญชีเพื่อการค้าจัดเป็น</w:t>
      </w:r>
      <w:r w:rsidRPr="0046265A">
        <w:rPr>
          <w:rFonts w:ascii="TH SarabunPSK" w:hAnsi="TH SarabunPSK" w:cs="TH SarabunPSK"/>
          <w:sz w:val="22"/>
          <w:szCs w:val="22"/>
          <w:cs/>
        </w:rPr>
        <w:t xml:space="preserve"> </w:t>
      </w:r>
      <w:r w:rsidRPr="0046265A">
        <w:rPr>
          <w:rFonts w:ascii="TH SarabunPSK" w:hAnsi="TH SarabunPSK" w:cs="TH SarabunPSK"/>
          <w:sz w:val="22"/>
          <w:szCs w:val="22"/>
        </w:rPr>
        <w:t>Equity Option</w:t>
      </w:r>
      <w:r w:rsidRPr="0046265A">
        <w:rPr>
          <w:rFonts w:ascii="TH SarabunPSK" w:hAnsi="TH SarabunPSK" w:cs="TH SarabunPSK" w:hint="cs"/>
          <w:sz w:val="22"/>
          <w:szCs w:val="22"/>
          <w:cs/>
        </w:rPr>
        <w:t xml:space="preserve"> ภายใต้ประกาศ ธปท. ที่ สนส. 94/2551 เรื่องหลักเกณฑ์</w:t>
      </w:r>
      <w:r w:rsidR="00881A74">
        <w:rPr>
          <w:rFonts w:ascii="TH SarabunPSK" w:hAnsi="TH SarabunPSK" w:cs="TH SarabunPSK"/>
          <w:sz w:val="22"/>
          <w:szCs w:val="22"/>
          <w:cs/>
        </w:rPr>
        <w:br/>
      </w:r>
      <w:r w:rsidRPr="0046265A">
        <w:rPr>
          <w:rFonts w:ascii="TH SarabunPSK" w:hAnsi="TH SarabunPSK" w:cs="TH SarabunPSK" w:hint="cs"/>
          <w:sz w:val="22"/>
          <w:szCs w:val="22"/>
          <w:cs/>
        </w:rPr>
        <w:t>การกำกับดูแลความเสี่ยงด้านตลาดและการดำรงเงินกองทุนเพื่อรองรับความเสี่ยงด้านตลาดของ สง.</w:t>
      </w:r>
      <w:r w:rsidRPr="0046265A">
        <w:rPr>
          <w:rFonts w:ascii="TH SarabunPSK" w:hAnsi="TH SarabunPSK" w:cs="TH SarabunPSK"/>
          <w:sz w:val="22"/>
          <w:szCs w:val="22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A03" w:rsidRDefault="00B42A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62" w:rsidRPr="00A54ECF" w:rsidRDefault="00841B53" w:rsidP="00A54ECF">
    <w:pPr>
      <w:pStyle w:val="Header"/>
      <w:jc w:val="center"/>
      <w:rPr>
        <w:szCs w:val="32"/>
      </w:rPr>
    </w:pPr>
    <w:sdt>
      <w:sdtPr>
        <w:rPr>
          <w:rFonts w:ascii="TH SarabunPSK" w:hAnsi="TH SarabunPSK" w:cs="TH SarabunPSK"/>
          <w:sz w:val="32"/>
          <w:szCs w:val="32"/>
        </w:rPr>
        <w:id w:val="90230671"/>
        <w:docPartObj>
          <w:docPartGallery w:val="Page Numbers (Top of Page)"/>
          <w:docPartUnique/>
        </w:docPartObj>
      </w:sdtPr>
      <w:sdtContent>
        <w:r w:rsidR="001E462F">
          <w:rPr>
            <w:rFonts w:ascii="TH SarabunPSK" w:hAnsi="TH SarabunPSK" w:cs="TH SarabunPSK"/>
            <w:sz w:val="32"/>
            <w:szCs w:val="32"/>
          </w:rPr>
          <w:t xml:space="preserve">- </w:t>
        </w:r>
        <w:r w:rsidRPr="00876F09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A54ECF" w:rsidRPr="00876F09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876F09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42A03">
          <w:rPr>
            <w:rFonts w:ascii="TH SarabunPSK" w:hAnsi="TH SarabunPSK" w:cs="TH SarabunPSK"/>
            <w:noProof/>
            <w:sz w:val="32"/>
            <w:szCs w:val="32"/>
          </w:rPr>
          <w:t>3</w:t>
        </w:r>
        <w:r w:rsidRPr="00876F09">
          <w:rPr>
            <w:rFonts w:ascii="TH SarabunPSK" w:hAnsi="TH SarabunPSK" w:cs="TH SarabunPSK"/>
            <w:sz w:val="32"/>
            <w:szCs w:val="32"/>
          </w:rPr>
          <w:fldChar w:fldCharType="end"/>
        </w:r>
        <w:r w:rsidR="00A54ECF" w:rsidRPr="00876F09">
          <w:rPr>
            <w:rFonts w:ascii="TH SarabunPSK" w:hAnsi="TH SarabunPSK" w:cs="TH SarabunPSK"/>
            <w:sz w:val="32"/>
            <w:szCs w:val="32"/>
          </w:rPr>
          <w:t xml:space="preserve"> -</w:t>
        </w:r>
      </w:sdtContent>
    </w:sdt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A03" w:rsidRDefault="00B42A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E7A1D"/>
    <w:multiLevelType w:val="hybridMultilevel"/>
    <w:tmpl w:val="E6C23A02"/>
    <w:lvl w:ilvl="0" w:tplc="04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">
    <w:nsid w:val="1A0C63EF"/>
    <w:multiLevelType w:val="hybridMultilevel"/>
    <w:tmpl w:val="1110152A"/>
    <w:lvl w:ilvl="0" w:tplc="DC345304">
      <w:start w:val="4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C74677"/>
    <w:multiLevelType w:val="multilevel"/>
    <w:tmpl w:val="2AF43DE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6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52" w:hanging="1440"/>
      </w:pPr>
      <w:rPr>
        <w:rFonts w:hint="default"/>
      </w:rPr>
    </w:lvl>
  </w:abstractNum>
  <w:abstractNum w:abstractNumId="3">
    <w:nsid w:val="497F3F20"/>
    <w:multiLevelType w:val="hybridMultilevel"/>
    <w:tmpl w:val="28385E56"/>
    <w:lvl w:ilvl="0" w:tplc="E4B6E09A">
      <w:start w:val="4"/>
      <w:numFmt w:val="bullet"/>
      <w:lvlText w:val="-"/>
      <w:lvlJc w:val="left"/>
      <w:pPr>
        <w:ind w:left="-18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</w:abstractNum>
  <w:abstractNum w:abstractNumId="4">
    <w:nsid w:val="5F1F6403"/>
    <w:multiLevelType w:val="hybridMultilevel"/>
    <w:tmpl w:val="706692C2"/>
    <w:lvl w:ilvl="0" w:tplc="A588DB8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066F1"/>
    <w:multiLevelType w:val="hybridMultilevel"/>
    <w:tmpl w:val="DFB263D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170BE"/>
    <w:rsid w:val="00000362"/>
    <w:rsid w:val="00001CC5"/>
    <w:rsid w:val="00011160"/>
    <w:rsid w:val="0002275E"/>
    <w:rsid w:val="00033A74"/>
    <w:rsid w:val="00044E16"/>
    <w:rsid w:val="00060609"/>
    <w:rsid w:val="00084AAC"/>
    <w:rsid w:val="000902CD"/>
    <w:rsid w:val="000A5D1A"/>
    <w:rsid w:val="000B0ED9"/>
    <w:rsid w:val="000B1446"/>
    <w:rsid w:val="000B3290"/>
    <w:rsid w:val="000C360F"/>
    <w:rsid w:val="000C5101"/>
    <w:rsid w:val="000E2FB1"/>
    <w:rsid w:val="000E72F0"/>
    <w:rsid w:val="0010194D"/>
    <w:rsid w:val="0013270E"/>
    <w:rsid w:val="001478B1"/>
    <w:rsid w:val="001579A7"/>
    <w:rsid w:val="0017652D"/>
    <w:rsid w:val="00194BBD"/>
    <w:rsid w:val="001B2E68"/>
    <w:rsid w:val="001D6474"/>
    <w:rsid w:val="001E462F"/>
    <w:rsid w:val="002114F9"/>
    <w:rsid w:val="002133B8"/>
    <w:rsid w:val="00226E19"/>
    <w:rsid w:val="00257060"/>
    <w:rsid w:val="00260325"/>
    <w:rsid w:val="00285D57"/>
    <w:rsid w:val="00285DB3"/>
    <w:rsid w:val="0028689E"/>
    <w:rsid w:val="002B61C3"/>
    <w:rsid w:val="002F10EF"/>
    <w:rsid w:val="00335835"/>
    <w:rsid w:val="00342C94"/>
    <w:rsid w:val="00343464"/>
    <w:rsid w:val="00343CDB"/>
    <w:rsid w:val="00372B6A"/>
    <w:rsid w:val="00373255"/>
    <w:rsid w:val="00393AD4"/>
    <w:rsid w:val="003C0843"/>
    <w:rsid w:val="003C3483"/>
    <w:rsid w:val="003E4DEA"/>
    <w:rsid w:val="004227F9"/>
    <w:rsid w:val="0044130E"/>
    <w:rsid w:val="004560B9"/>
    <w:rsid w:val="0046265A"/>
    <w:rsid w:val="004D2B71"/>
    <w:rsid w:val="0050499C"/>
    <w:rsid w:val="00534C2D"/>
    <w:rsid w:val="005377F6"/>
    <w:rsid w:val="00571B02"/>
    <w:rsid w:val="00596C45"/>
    <w:rsid w:val="005C2E28"/>
    <w:rsid w:val="00660AC4"/>
    <w:rsid w:val="00667BE3"/>
    <w:rsid w:val="00677606"/>
    <w:rsid w:val="006954F8"/>
    <w:rsid w:val="006C2C3E"/>
    <w:rsid w:val="006C3F78"/>
    <w:rsid w:val="006D1B8F"/>
    <w:rsid w:val="00727499"/>
    <w:rsid w:val="007329A6"/>
    <w:rsid w:val="007622E5"/>
    <w:rsid w:val="00776403"/>
    <w:rsid w:val="00777A02"/>
    <w:rsid w:val="007A0187"/>
    <w:rsid w:val="007B6571"/>
    <w:rsid w:val="007C2BDA"/>
    <w:rsid w:val="007D1D42"/>
    <w:rsid w:val="007E6325"/>
    <w:rsid w:val="008022E9"/>
    <w:rsid w:val="00841B53"/>
    <w:rsid w:val="00847611"/>
    <w:rsid w:val="0085725D"/>
    <w:rsid w:val="00876F09"/>
    <w:rsid w:val="00881A74"/>
    <w:rsid w:val="008B3898"/>
    <w:rsid w:val="008B3ABD"/>
    <w:rsid w:val="008D0D3A"/>
    <w:rsid w:val="0091535D"/>
    <w:rsid w:val="00925299"/>
    <w:rsid w:val="00946916"/>
    <w:rsid w:val="00966E92"/>
    <w:rsid w:val="00997EC3"/>
    <w:rsid w:val="009A12E5"/>
    <w:rsid w:val="009C5288"/>
    <w:rsid w:val="00A14DCF"/>
    <w:rsid w:val="00A521D0"/>
    <w:rsid w:val="00A5289A"/>
    <w:rsid w:val="00A54ECF"/>
    <w:rsid w:val="00A837DE"/>
    <w:rsid w:val="00AB4569"/>
    <w:rsid w:val="00AC33E7"/>
    <w:rsid w:val="00AE5486"/>
    <w:rsid w:val="00B076F1"/>
    <w:rsid w:val="00B15335"/>
    <w:rsid w:val="00B42A03"/>
    <w:rsid w:val="00B53349"/>
    <w:rsid w:val="00BC37FC"/>
    <w:rsid w:val="00BE74F2"/>
    <w:rsid w:val="00C1026B"/>
    <w:rsid w:val="00C25346"/>
    <w:rsid w:val="00C368D3"/>
    <w:rsid w:val="00C42DA5"/>
    <w:rsid w:val="00C65F38"/>
    <w:rsid w:val="00CA4339"/>
    <w:rsid w:val="00CA53BD"/>
    <w:rsid w:val="00CA74C6"/>
    <w:rsid w:val="00CE16A7"/>
    <w:rsid w:val="00CE1C90"/>
    <w:rsid w:val="00D2115F"/>
    <w:rsid w:val="00D279A2"/>
    <w:rsid w:val="00D61718"/>
    <w:rsid w:val="00D9149D"/>
    <w:rsid w:val="00DD37EB"/>
    <w:rsid w:val="00DE7C26"/>
    <w:rsid w:val="00E068FD"/>
    <w:rsid w:val="00E33869"/>
    <w:rsid w:val="00EC1FF1"/>
    <w:rsid w:val="00ED592B"/>
    <w:rsid w:val="00EE70C5"/>
    <w:rsid w:val="00F170BE"/>
    <w:rsid w:val="00F37B75"/>
    <w:rsid w:val="00F64953"/>
    <w:rsid w:val="00F739DB"/>
    <w:rsid w:val="00FB67B1"/>
    <w:rsid w:val="00FC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2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0B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0BE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F170B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06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7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6F09"/>
  </w:style>
  <w:style w:type="paragraph" w:styleId="Footer">
    <w:name w:val="footer"/>
    <w:basedOn w:val="Normal"/>
    <w:link w:val="FooterChar"/>
    <w:unhideWhenUsed/>
    <w:rsid w:val="00876F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76F09"/>
  </w:style>
  <w:style w:type="table" w:styleId="TableGrid">
    <w:name w:val="Table Grid"/>
    <w:basedOn w:val="TableNormal"/>
    <w:uiPriority w:val="59"/>
    <w:rsid w:val="005049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6265A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265A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46265A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FC07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AE6EE-1B10-4AF1-889C-4282E3B0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Bank of Thailand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</dc:creator>
  <cp:keywords/>
  <dc:description/>
  <cp:lastModifiedBy>solomon</cp:lastModifiedBy>
  <cp:revision>3</cp:revision>
  <cp:lastPrinted>2013-12-26T11:14:00Z</cp:lastPrinted>
  <dcterms:created xsi:type="dcterms:W3CDTF">2014-01-29T06:30:00Z</dcterms:created>
  <dcterms:modified xsi:type="dcterms:W3CDTF">2014-01-29T06:33:00Z</dcterms:modified>
</cp:coreProperties>
</file>